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rPr>
          <w:rFonts w:eastAsia="等线" w:ascii="Arial" w:cs="Arial" w:hAnsi="Arial"/>
          <w:b w:val="true"/>
          <w:sz w:val="52"/>
        </w:rPr>
        <w:t>20240103 OCPing++ - 空白协议 （支付宝渠道直连服务商综合解决方案）初稿SLOMA-Q</w:t>
      </w:r>
    </w:p>
    <w:p>
      <w:pPr>
        <w:spacing w:before="120" w:after="120" w:line="288" w:lineRule="auto"/>
        <w:ind w:left="0" w:firstLine="0"/>
        <w:jc w:val="left"/>
      </w:pPr>
    </w:p>
    <w:p>
      <w:pPr>
        <w:spacing w:before="120" w:after="120" w:line="288" w:lineRule="auto"/>
        <w:ind w:left="0" w:firstLine="0"/>
        <w:jc w:val="right"/>
      </w:pPr>
      <w:r>
        <w:rPr>
          <w:rFonts w:eastAsia="等线" w:ascii="Arial" w:cs="Arial" w:hAnsi="Arial"/>
          <w:b w:val="true"/>
          <w:color w:val="1f2329"/>
          <w:sz w:val="22"/>
        </w:rPr>
        <w:t>合同编号［                              ］</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center"/>
      </w:pPr>
      <w:r>
        <w:rPr>
          <w:rFonts w:eastAsia="等线" w:ascii="Arial" w:cs="Arial" w:hAnsi="Arial"/>
          <w:b w:val="true"/>
          <w:color w:val="1f2329"/>
          <w:sz w:val="22"/>
        </w:rPr>
        <w:t>______________________公司</w:t>
      </w:r>
    </w:p>
    <w:p>
      <w:pPr>
        <w:spacing w:before="120" w:after="120" w:line="288" w:lineRule="auto"/>
        <w:ind w:left="0" w:firstLine="420"/>
        <w:jc w:val="left"/>
      </w:pPr>
    </w:p>
    <w:p>
      <w:pPr>
        <w:spacing w:before="120" w:after="120" w:line="288" w:lineRule="auto"/>
        <w:ind w:left="0" w:firstLine="0"/>
        <w:jc w:val="left"/>
      </w:pPr>
    </w:p>
    <w:p>
      <w:pPr>
        <w:spacing w:before="120" w:after="120" w:line="288" w:lineRule="auto"/>
        <w:ind w:left="0" w:firstLine="0"/>
        <w:jc w:val="center"/>
      </w:pPr>
      <w:r>
        <w:rPr>
          <w:rFonts w:eastAsia="等线" w:ascii="Arial" w:cs="Arial" w:hAnsi="Arial"/>
          <w:b w:val="true"/>
          <w:color w:val="1f2329"/>
          <w:sz w:val="22"/>
        </w:rPr>
        <w:t>与</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center"/>
      </w:pPr>
      <w:r>
        <w:rPr>
          <w:rFonts w:eastAsia="等线" w:ascii="Arial" w:cs="Arial" w:hAnsi="Arial"/>
          <w:b w:val="true"/>
          <w:color w:val="1f2329"/>
          <w:sz w:val="22"/>
        </w:rPr>
        <w:t>上海简米网络科技有限公司</w:t>
      </w:r>
    </w:p>
    <w:p>
      <w:pPr>
        <w:spacing w:before="120" w:after="120" w:line="288" w:lineRule="auto"/>
        <w:ind w:left="0" w:firstLine="0"/>
        <w:jc w:val="left"/>
      </w:pPr>
    </w:p>
    <w:p>
      <w:pPr>
        <w:spacing w:before="120" w:after="120" w:line="288" w:lineRule="auto"/>
        <w:ind w:left="0" w:firstLine="0"/>
        <w:jc w:val="center"/>
      </w:pPr>
      <w:r>
        <w:rPr>
          <w:rFonts w:eastAsia="等线" w:ascii="Arial" w:cs="Arial" w:hAnsi="Arial"/>
          <w:b w:val="true"/>
          <w:color w:val="1f2329"/>
          <w:sz w:val="22"/>
        </w:rPr>
        <w:t>支付合作协议</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pBdr>
          <w:bottom w:val="single" w:color="dee0e3"/>
          <w:between w:val="single" w:color="dee0e3"/>
        </w:pBdr>
        <w:spacing w:before="120" w:after="120" w:line="288" w:lineRule="auto"/>
        <w:ind w:left="0"/>
      </w:pPr>
    </w:p>
    <w:p>
      <w:pPr>
        <w:spacing w:before="120" w:after="120" w:line="288" w:lineRule="auto"/>
        <w:ind w:left="0" w:firstLine="0"/>
        <w:jc w:val="left"/>
      </w:pPr>
      <w:r>
        <w:rPr>
          <w:rFonts w:eastAsia="等线" w:ascii="Arial" w:cs="Arial" w:hAnsi="Arial"/>
          <w:color w:val="1f2329"/>
          <w:sz w:val="22"/>
        </w:rPr>
        <w:t>本协议由以下双方签署：</w:t>
      </w:r>
    </w:p>
    <w:p>
      <w:pPr>
        <w:spacing w:before="120" w:after="120" w:line="288" w:lineRule="auto"/>
        <w:ind w:left="0" w:firstLine="0"/>
        <w:jc w:val="left"/>
      </w:pPr>
      <w:r>
        <w:rPr>
          <w:rFonts w:eastAsia="等线" w:ascii="Arial" w:cs="Arial" w:hAnsi="Arial"/>
          <w:color w:val="1f2329"/>
          <w:sz w:val="22"/>
        </w:rPr>
        <w:t xml:space="preserve">公司名称：                           </w:t>
      </w:r>
    </w:p>
    <w:p>
      <w:pPr>
        <w:spacing w:before="120" w:after="120" w:line="288" w:lineRule="auto"/>
        <w:ind w:left="0" w:firstLine="0"/>
        <w:jc w:val="left"/>
      </w:pPr>
      <w:r>
        <w:rPr>
          <w:rFonts w:eastAsia="等线" w:ascii="Arial" w:cs="Arial" w:hAnsi="Arial"/>
          <w:color w:val="1f2329"/>
          <w:sz w:val="22"/>
        </w:rPr>
        <w:t xml:space="preserve">注册地址：                           </w:t>
      </w:r>
      <w:r>
        <w:rPr>
          <w:rFonts w:eastAsia="等线" w:ascii="Arial" w:cs="Arial" w:hAnsi="Arial"/>
          <w:sz w:val="22"/>
        </w:rPr>
        <w:br/>
      </w:r>
      <w:r>
        <w:rPr>
          <w:rFonts w:eastAsia="等线" w:ascii="Arial" w:cs="Arial" w:hAnsi="Arial"/>
          <w:color w:val="1f2329"/>
          <w:sz w:val="22"/>
        </w:rPr>
        <w:t>以下简称「甲方」。</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上海简米网络科技有限公司，</w:t>
      </w:r>
      <w:r>
        <w:rPr>
          <w:rFonts w:eastAsia="等线" w:ascii="Arial" w:cs="Arial" w:hAnsi="Arial"/>
          <w:sz w:val="22"/>
        </w:rPr>
        <w:br/>
      </w:r>
      <w:r>
        <w:rPr>
          <w:rFonts w:eastAsia="等线" w:ascii="Arial" w:cs="Arial" w:hAnsi="Arial"/>
          <w:color w:val="1f2329"/>
          <w:sz w:val="22"/>
        </w:rPr>
        <w:t>注册地址为中国（上海）自由贸易试验区碧波路690号6幢101-19室。</w:t>
      </w:r>
      <w:r>
        <w:rPr>
          <w:rFonts w:eastAsia="等线" w:ascii="Arial" w:cs="Arial" w:hAnsi="Arial"/>
          <w:sz w:val="22"/>
        </w:rPr>
        <w:br/>
      </w:r>
      <w:r>
        <w:rPr>
          <w:rFonts w:eastAsia="等线" w:ascii="Arial" w:cs="Arial" w:hAnsi="Arial"/>
          <w:color w:val="1f2329"/>
          <w:sz w:val="22"/>
        </w:rPr>
        <w:t>以下简称「乙方」。</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「协议双方」指甲乙双方；</w:t>
      </w:r>
      <w:r>
        <w:rPr>
          <w:rFonts w:eastAsia="等线" w:ascii="Arial" w:cs="Arial" w:hAnsi="Arial"/>
          <w:sz w:val="22"/>
        </w:rPr>
        <w:br/>
      </w:r>
      <w:r>
        <w:rPr>
          <w:rFonts w:eastAsia="等线" w:ascii="Arial" w:cs="Arial" w:hAnsi="Arial"/>
          <w:color w:val="1f2329"/>
          <w:sz w:val="22"/>
        </w:rPr>
        <w:t>「协议一方」指甲乙任何一方。</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sz w:val="22"/>
        </w:rPr>
        <w:br/>
      </w:r>
      <w:r>
        <w:rPr>
          <w:rFonts w:eastAsia="等线" w:ascii="Arial" w:cs="Arial" w:hAnsi="Arial"/>
          <w:color w:val="1f2329"/>
          <w:sz w:val="22"/>
        </w:rPr>
        <w:t>本协议各方在此均保证其拥有签订和履行本协议所需的完全的公司权利和授权、许可、资质，并已采取了一切必要的行动以授权该方及其代表人签订和履行本协议。</w:t>
      </w:r>
      <w:r>
        <w:rPr>
          <w:rFonts w:eastAsia="等线" w:ascii="Arial" w:cs="Arial" w:hAnsi="Arial"/>
          <w:sz w:val="22"/>
        </w:rPr>
        <w:br/>
      </w:r>
      <w:r>
        <w:rPr>
          <w:rFonts w:eastAsia="等线" w:ascii="Arial" w:cs="Arial" w:hAnsi="Arial"/>
          <w:color w:val="1f2329"/>
          <w:sz w:val="22"/>
        </w:rPr>
        <w:t>双方经友好协商，就以下内容达成协议：</w:t>
      </w:r>
    </w:p>
    <w:p>
      <w:pPr>
        <w:pStyle w:val="2"/>
        <w:spacing w:before="320" w:after="120" w:line="288" w:lineRule="auto"/>
        <w:ind w:left="0"/>
        <w:jc w:val="left"/>
        <w:outlineLvl w:val="1"/>
      </w:pPr>
      <w:bookmarkStart w:name="heading_0" w:id="0"/>
      <w:r>
        <w:rPr>
          <w:rFonts w:eastAsia="等线" w:ascii="Arial" w:cs="Arial" w:hAnsi="Arial"/>
          <w:color w:val="3370ff"/>
          <w:sz w:val="32"/>
        </w:rPr>
        <w:t xml:space="preserve">1. </w:t>
      </w:r>
      <w:r>
        <w:rPr>
          <w:rFonts w:eastAsia="等线" w:ascii="Arial" w:cs="Arial" w:hAnsi="Arial"/>
          <w:b w:val="true"/>
          <w:color w:val="1f2329"/>
          <w:sz w:val="32"/>
        </w:rPr>
        <w:t>合作内容</w:t>
      </w:r>
      <w:bookmarkEnd w:id="0"/>
    </w:p>
    <w:p>
      <w:pPr>
        <w:spacing w:before="120" w:after="120" w:line="288" w:lineRule="auto"/>
        <w:ind w:left="0" w:firstLine="0"/>
        <w:jc w:val="left"/>
      </w:pPr>
      <w:r>
        <w:rPr>
          <w:rFonts w:eastAsia="等线" w:ascii="Arial" w:cs="Arial" w:hAnsi="Arial"/>
          <w:color w:val="1f2329"/>
          <w:sz w:val="22"/>
        </w:rPr>
        <w:t>乙方和甲方同意建立互惠合作关系，尽最大努力支持对方业务发展。双方同意在以下方面开展合作：</w:t>
      </w:r>
    </w:p>
    <w:p>
      <w:pPr>
        <w:pStyle w:val="6"/>
        <w:spacing w:before="240" w:after="120" w:line="288" w:lineRule="auto"/>
        <w:ind w:left="0"/>
        <w:jc w:val="left"/>
        <w:outlineLvl w:val="5"/>
      </w:pPr>
      <w:bookmarkStart w:name="heading_1" w:id="1"/>
      <w:r>
        <w:rPr>
          <w:rFonts w:eastAsia="等线" w:ascii="Arial" w:cs="Arial" w:hAnsi="Arial"/>
          <w:color w:val="3370ff"/>
          <w:sz w:val="24"/>
        </w:rPr>
        <w:t xml:space="preserve">1.1 </w:t>
      </w:r>
      <w:r>
        <w:rPr>
          <w:rFonts w:eastAsia="等线" w:ascii="Arial" w:cs="Arial" w:hAnsi="Arial"/>
          <w:b w:val="true"/>
          <w:color w:val="1f2329"/>
          <w:sz w:val="24"/>
        </w:rPr>
        <w:t>乙方为甲方提供支付业务咨询服务</w:t>
      </w:r>
      <w:bookmarkEnd w:id="1"/>
    </w:p>
    <w:p>
      <w:pPr>
        <w:spacing w:before="120" w:after="120" w:line="288" w:lineRule="auto"/>
        <w:ind w:left="0" w:firstLine="420"/>
        <w:jc w:val="left"/>
      </w:pPr>
      <w:r>
        <w:rPr>
          <w:rFonts w:eastAsia="等线" w:ascii="Arial" w:cs="Arial" w:hAnsi="Arial"/>
          <w:color w:val="1f2329"/>
          <w:sz w:val="22"/>
        </w:rPr>
        <w:t>乙方根据甲方的业务特点及业务需求，通过咨询指导，协助设计适合甲方的支付业务解决方案和处理流程。</w:t>
      </w:r>
    </w:p>
    <w:p>
      <w:pPr>
        <w:pStyle w:val="6"/>
        <w:spacing w:before="240" w:after="120" w:line="288" w:lineRule="auto"/>
        <w:ind w:left="0"/>
        <w:jc w:val="left"/>
        <w:outlineLvl w:val="5"/>
      </w:pPr>
      <w:bookmarkStart w:name="heading_2" w:id="2"/>
      <w:r>
        <w:rPr>
          <w:rFonts w:eastAsia="等线" w:ascii="Arial" w:cs="Arial" w:hAnsi="Arial"/>
          <w:color w:val="3370ff"/>
          <w:sz w:val="24"/>
        </w:rPr>
        <w:t xml:space="preserve">1.2 </w:t>
      </w:r>
      <w:r>
        <w:rPr>
          <w:rFonts w:eastAsia="等线" w:ascii="Arial" w:cs="Arial" w:hAnsi="Arial"/>
          <w:b w:val="true"/>
          <w:color w:val="1f2329"/>
          <w:sz w:val="24"/>
        </w:rPr>
        <w:t>乙方为甲方提供支付接入服务</w:t>
      </w:r>
      <w:bookmarkEnd w:id="2"/>
    </w:p>
    <w:p>
      <w:pPr>
        <w:spacing w:before="120" w:after="120" w:line="288" w:lineRule="auto"/>
        <w:ind w:left="0" w:firstLine="420"/>
        <w:jc w:val="left"/>
      </w:pPr>
      <w:r>
        <w:rPr>
          <w:rFonts w:eastAsia="等线" w:ascii="Arial" w:cs="Arial" w:hAnsi="Arial"/>
          <w:color w:val="1f2329"/>
          <w:sz w:val="22"/>
        </w:rPr>
        <w:t xml:space="preserve">乙方作为支付技术和平台服务方，支持甲方的业务发展要求，提供统一的支付接口支持甲方产品调用现有相应的第三方支付产品和支付管道，提供支付接入平台服务，实现通讯连接、交易报文转换、支付渠道对接、交易数据传输处理等功能。 </w:t>
      </w:r>
    </w:p>
    <w:p>
      <w:pPr>
        <w:spacing w:before="120" w:after="120" w:line="288" w:lineRule="auto"/>
        <w:ind w:left="0" w:firstLine="420"/>
        <w:jc w:val="left"/>
      </w:pPr>
      <w:r>
        <w:rPr>
          <w:rFonts w:eastAsia="等线" w:ascii="Arial" w:cs="Arial" w:hAnsi="Arial"/>
          <w:color w:val="1f2329"/>
          <w:sz w:val="22"/>
        </w:rPr>
        <w:t>对于甲方的其他支付处理需求如新的支付渠道增加，新的支付方式接入等，双方今后将在支付业务实现的基础上，本着友好协商、互惠互利的原则另行探讨合作。</w:t>
      </w:r>
    </w:p>
    <w:p>
      <w:pPr>
        <w:pStyle w:val="6"/>
        <w:spacing w:before="240" w:after="120" w:line="288" w:lineRule="auto"/>
        <w:ind w:left="0"/>
        <w:jc w:val="left"/>
        <w:outlineLvl w:val="5"/>
      </w:pPr>
      <w:bookmarkStart w:name="heading_3" w:id="3"/>
      <w:r>
        <w:rPr>
          <w:rFonts w:eastAsia="等线" w:ascii="Arial" w:cs="Arial" w:hAnsi="Arial"/>
          <w:color w:val="3370ff"/>
          <w:sz w:val="24"/>
        </w:rPr>
        <w:t xml:space="preserve">1.3 </w:t>
      </w:r>
      <w:r>
        <w:rPr>
          <w:rFonts w:eastAsia="等线" w:ascii="Arial" w:cs="Arial" w:hAnsi="Arial"/>
          <w:b w:val="true"/>
          <w:color w:val="1f2329"/>
          <w:sz w:val="24"/>
        </w:rPr>
        <w:t>乙方为甲方提供对账和报表服务</w:t>
      </w:r>
      <w:bookmarkEnd w:id="3"/>
    </w:p>
    <w:p>
      <w:pPr>
        <w:spacing w:before="120" w:after="120" w:line="288" w:lineRule="auto"/>
        <w:ind w:left="0" w:firstLine="420"/>
        <w:jc w:val="left"/>
      </w:pPr>
      <w:r>
        <w:rPr>
          <w:rFonts w:eastAsia="等线" w:ascii="Arial" w:cs="Arial" w:hAnsi="Arial"/>
          <w:color w:val="1f2329"/>
          <w:sz w:val="22"/>
        </w:rPr>
        <w:t>对于从甲方发起到乙方支付系统处理的交易，乙方除了按照联机交互提供的交易响应外，应及时向甲方提供交易对账报表和交易明细。资金清算遵循第三方支付渠道的时间约定和要求进行。如发生差错类交易，乙方应积极协助甲方与第三方支付渠道按照第三方支付渠道的差错处理规则配合进行差错处理。</w:t>
      </w:r>
    </w:p>
    <w:p>
      <w:pPr>
        <w:pStyle w:val="6"/>
        <w:spacing w:before="240" w:after="120" w:line="288" w:lineRule="auto"/>
        <w:ind w:left="0"/>
        <w:jc w:val="left"/>
        <w:outlineLvl w:val="5"/>
      </w:pPr>
      <w:bookmarkStart w:name="heading_4" w:id="4"/>
      <w:r>
        <w:rPr>
          <w:rFonts w:eastAsia="等线" w:ascii="Arial" w:cs="Arial" w:hAnsi="Arial"/>
          <w:color w:val="3370ff"/>
          <w:sz w:val="24"/>
        </w:rPr>
        <w:t xml:space="preserve">1.4 </w:t>
      </w:r>
      <w:r>
        <w:rPr>
          <w:rFonts w:eastAsia="等线" w:ascii="Arial" w:cs="Arial" w:hAnsi="Arial"/>
          <w:b w:val="true"/>
          <w:color w:val="1f2329"/>
          <w:sz w:val="24"/>
        </w:rPr>
        <w:t>乙方为甲方提供支付渠道入网申请咨询服务</w:t>
      </w:r>
      <w:bookmarkEnd w:id="4"/>
    </w:p>
    <w:p>
      <w:pPr>
        <w:spacing w:before="120" w:after="120" w:line="288" w:lineRule="auto"/>
        <w:ind w:left="0" w:firstLine="420"/>
        <w:jc w:val="left"/>
      </w:pPr>
      <w:r>
        <w:rPr>
          <w:rFonts w:eastAsia="等线" w:ascii="Arial" w:cs="Arial" w:hAnsi="Arial"/>
          <w:color w:val="1f2329"/>
          <w:sz w:val="22"/>
        </w:rPr>
        <w:t xml:space="preserve">    如甲方尚未完成第三方支付渠道商户入网申请，乙方可以为甲方提供协助甲方完成甲方指定支付产品接入申请的咨询服务。</w:t>
      </w:r>
    </w:p>
    <w:p>
      <w:pPr>
        <w:spacing w:before="120" w:after="120" w:line="288" w:lineRule="auto"/>
        <w:ind w:left="0" w:firstLine="420"/>
        <w:jc w:val="left"/>
      </w:pPr>
    </w:p>
    <w:p>
      <w:pPr>
        <w:numPr>
          <w:numId w:val="1"/>
        </w:numPr>
        <w:spacing w:before="120" w:after="120" w:line="288" w:lineRule="auto"/>
        <w:ind w:left="453"/>
        <w:jc w:val="left"/>
      </w:pPr>
      <w:r>
        <w:rPr>
          <w:rFonts w:eastAsia="等线" w:ascii="Arial" w:cs="Arial" w:hAnsi="Arial"/>
          <w:b w:val="true"/>
          <w:color w:val="1f2329"/>
          <w:sz w:val="22"/>
        </w:rPr>
        <w:t xml:space="preserve"> 乙方为甲方提供支付宝“直连服务商综合解决方案”服务商技术服务（限支付宝支付渠道）</w:t>
      </w:r>
    </w:p>
    <w:p>
      <w:pPr>
        <w:spacing w:before="120" w:after="120" w:line="288" w:lineRule="auto"/>
        <w:ind w:left="0" w:firstLine="420"/>
        <w:jc w:val="left"/>
      </w:pPr>
      <w:r>
        <w:rPr>
          <w:rFonts w:eastAsia="等线" w:ascii="Arial" w:cs="Arial" w:hAnsi="Arial"/>
          <w:color w:val="1f2329"/>
          <w:sz w:val="22"/>
        </w:rPr>
        <w:t xml:space="preserve">    基于乙方系支付宝（中国）网络技术有限公司（下称“支付宝”）之“直连服务商综合解决方案”的指定服务商，通过支付宝提供的集支付、结算、分账功能为一体的资金解决方案为甲方提供对应技术服务。</w:t>
      </w:r>
    </w:p>
    <w:p>
      <w:pPr>
        <w:pStyle w:val="2"/>
        <w:spacing w:before="320" w:after="120" w:line="288" w:lineRule="auto"/>
        <w:ind w:left="0"/>
        <w:jc w:val="left"/>
        <w:outlineLvl w:val="1"/>
      </w:pPr>
      <w:bookmarkStart w:name="heading_5" w:id="5"/>
      <w:r>
        <w:rPr>
          <w:rFonts w:eastAsia="等线" w:ascii="Arial" w:cs="Arial" w:hAnsi="Arial"/>
          <w:color w:val="3370ff"/>
          <w:sz w:val="32"/>
        </w:rPr>
        <w:t xml:space="preserve">2. </w:t>
      </w:r>
      <w:r>
        <w:rPr>
          <w:rFonts w:eastAsia="等线" w:ascii="Arial" w:cs="Arial" w:hAnsi="Arial"/>
          <w:b w:val="true"/>
          <w:color w:val="1f2329"/>
          <w:sz w:val="32"/>
        </w:rPr>
        <w:t>权利义务</w:t>
      </w:r>
      <w:bookmarkEnd w:id="5"/>
    </w:p>
    <w:p>
      <w:pPr>
        <w:spacing w:before="120" w:after="120" w:line="288" w:lineRule="auto"/>
        <w:ind w:left="0" w:firstLine="0"/>
        <w:jc w:val="left"/>
      </w:pPr>
      <w:r>
        <w:rPr>
          <w:rFonts w:eastAsia="等线" w:ascii="Arial" w:cs="Arial" w:hAnsi="Arial"/>
          <w:b w:val="true"/>
          <w:color w:val="1f2329"/>
          <w:sz w:val="22"/>
        </w:rPr>
        <w:t>甲方</w:t>
      </w:r>
    </w:p>
    <w:p>
      <w:pPr>
        <w:numPr>
          <w:numId w:val="2"/>
        </w:numPr>
        <w:spacing w:before="120" w:after="120" w:line="288" w:lineRule="auto"/>
        <w:ind w:left="0"/>
        <w:jc w:val="left"/>
      </w:pPr>
      <w:r>
        <w:rPr>
          <w:rFonts w:eastAsia="等线" w:ascii="Arial" w:cs="Arial" w:hAnsi="Arial"/>
          <w:color w:val="1f2329"/>
          <w:sz w:val="22"/>
        </w:rPr>
        <w:t>按照乙方的 API 接口规范要求，完成自身前端场景（包括移动应用程序，移动端网站，PC 端网站等） 及后端服务器程序的接口开发，确保交易流程符合乙方提供的技术文档要求，最终系统支付模块通过乙方的审核及测试，并取得乙方的书面确认。</w:t>
      </w:r>
    </w:p>
    <w:p>
      <w:pPr>
        <w:numPr>
          <w:numId w:val="3"/>
        </w:numPr>
        <w:spacing w:before="120" w:after="120" w:line="288" w:lineRule="auto"/>
        <w:ind w:left="0"/>
        <w:jc w:val="left"/>
      </w:pPr>
      <w:r>
        <w:rPr>
          <w:rFonts w:eastAsia="等线" w:ascii="Arial" w:cs="Arial" w:hAnsi="Arial"/>
          <w:color w:val="1f2329"/>
          <w:sz w:val="22"/>
        </w:rPr>
        <w:t>确保向乙方发起支付请求时信息的准确性。</w:t>
      </w:r>
    </w:p>
    <w:p>
      <w:pPr>
        <w:numPr>
          <w:numId w:val="4"/>
        </w:numPr>
        <w:spacing w:before="120" w:after="120" w:line="288" w:lineRule="auto"/>
        <w:ind w:left="0"/>
        <w:jc w:val="left"/>
      </w:pPr>
      <w:r>
        <w:rPr>
          <w:rFonts w:eastAsia="等线" w:ascii="Arial" w:cs="Arial" w:hAnsi="Arial"/>
          <w:color w:val="1f2329"/>
          <w:sz w:val="22"/>
        </w:rPr>
        <w:t>如果甲方已经完成第三方支付渠道的商户入网申请工作，甲方须向乙方提供相应渠道分配的商户身份信息，具体内容以相关渠道最新接口要求为准。</w:t>
      </w:r>
    </w:p>
    <w:p>
      <w:pPr>
        <w:numPr>
          <w:numId w:val="5"/>
        </w:numPr>
        <w:spacing w:before="120" w:after="120" w:line="288" w:lineRule="auto"/>
        <w:ind w:left="0"/>
        <w:jc w:val="left"/>
      </w:pPr>
      <w:r>
        <w:rPr>
          <w:rFonts w:eastAsia="等线" w:ascii="Arial" w:cs="Arial" w:hAnsi="Arial"/>
          <w:color w:val="1f2329"/>
          <w:sz w:val="22"/>
        </w:rPr>
        <w:t>有权对乙方提供的系统和服务进行监督和管理，提出持续改进计划。</w:t>
      </w:r>
    </w:p>
    <w:p>
      <w:pPr>
        <w:numPr>
          <w:numId w:val="6"/>
        </w:numPr>
        <w:spacing w:before="120" w:after="120" w:line="288" w:lineRule="auto"/>
        <w:ind w:left="0"/>
        <w:jc w:val="left"/>
      </w:pPr>
      <w:r>
        <w:rPr>
          <w:rFonts w:eastAsia="等线" w:ascii="Arial" w:cs="Arial" w:hAnsi="Arial"/>
          <w:color w:val="1f2329"/>
          <w:sz w:val="22"/>
        </w:rPr>
        <w:t>按照协议约定承担各项职责，并支付相关费用。</w:t>
      </w:r>
    </w:p>
    <w:p>
      <w:pPr>
        <w:numPr>
          <w:numId w:val="7"/>
        </w:numPr>
        <w:spacing w:before="120" w:after="120" w:line="288" w:lineRule="auto"/>
        <w:ind w:left="0"/>
        <w:jc w:val="left"/>
      </w:pPr>
      <w:r>
        <w:rPr>
          <w:rFonts w:eastAsia="等线" w:ascii="Arial" w:cs="Arial" w:hAnsi="Arial"/>
          <w:color w:val="1f2329"/>
          <w:sz w:val="22"/>
        </w:rPr>
        <w:t>按照乙方和第三方支付渠道的要求开展业务，不得从事非法、禁止的业务，须对所接收的数据进行安全保密，并遵循乙方和第三方支付渠道的风险管理要求。</w:t>
      </w:r>
    </w:p>
    <w:p>
      <w:pPr>
        <w:numPr>
          <w:numId w:val="8"/>
        </w:numPr>
        <w:spacing w:before="120" w:after="120" w:line="288" w:lineRule="auto"/>
        <w:ind w:left="0"/>
        <w:jc w:val="left"/>
      </w:pPr>
      <w:r>
        <w:rPr>
          <w:rFonts w:eastAsia="等线" w:ascii="Arial" w:cs="Arial" w:hAnsi="Arial"/>
          <w:color w:val="1f2329"/>
          <w:sz w:val="22"/>
        </w:rPr>
        <w:t>若移动端操作系统指定使用特定支付接口的支付场景的，甲方需自行开发相应支付接口。</w:t>
      </w:r>
    </w:p>
    <w:p>
      <w:pPr>
        <w:numPr>
          <w:numId w:val="9"/>
        </w:numPr>
        <w:spacing w:before="120" w:after="120" w:line="288" w:lineRule="auto"/>
        <w:ind w:left="0"/>
        <w:jc w:val="left"/>
      </w:pPr>
      <w:r>
        <w:rPr>
          <w:rFonts w:eastAsia="等线" w:ascii="Arial" w:cs="Arial" w:hAnsi="Arial"/>
          <w:color w:val="1f2329"/>
          <w:sz w:val="22"/>
        </w:rPr>
        <w:t>在本协议履行中，如甲方需变更包括支付指令、商户资质等信息，应及时以书面形式通知乙方，并自行按照第三方支付渠道的要求办理有关手续，否则由此发生的损失和风险由甲方承担。</w:t>
      </w:r>
    </w:p>
    <w:p>
      <w:pPr>
        <w:numPr>
          <w:numId w:val="10"/>
        </w:numPr>
        <w:spacing w:before="120" w:after="120" w:line="288" w:lineRule="auto"/>
        <w:ind w:left="0"/>
        <w:jc w:val="left"/>
      </w:pPr>
      <w:r>
        <w:rPr>
          <w:rFonts w:eastAsia="等线" w:ascii="Arial" w:cs="Arial" w:hAnsi="Arial"/>
          <w:color w:val="1f2329"/>
          <w:sz w:val="22"/>
        </w:rPr>
        <w:t>甲方所申请的支付服务仅能用于与乙方约定的用途，并供自己使用，不得提供给任何第三方使用（若甲方购买多级商户系统的，仅限在合同约定范围内供系统内子商户使用）。甲方不得代其他用户或合作伙伴（多级商户系统内子商户除外）提交订单或发出任何指令。否则，甲方应独立承担由此引起的法律责任和后果，乙方并有权据此终止本协议。</w:t>
      </w:r>
    </w:p>
    <w:p>
      <w:pPr>
        <w:numPr>
          <w:numId w:val="11"/>
        </w:numPr>
        <w:spacing w:before="120" w:after="120" w:line="288" w:lineRule="auto"/>
        <w:ind w:left="0"/>
        <w:jc w:val="left"/>
      </w:pPr>
      <w:r>
        <w:rPr>
          <w:rFonts w:eastAsia="等线" w:ascii="Arial" w:cs="Arial" w:hAnsi="Arial"/>
          <w:color w:val="1f2329"/>
          <w:sz w:val="22"/>
        </w:rPr>
        <w:t>甲方应按照第三方支付渠道相关规定，严格保密客户身份信息及交易信息，不得泄露有关敏感身份信息和交易数据。</w:t>
      </w:r>
    </w:p>
    <w:p>
      <w:pPr>
        <w:numPr>
          <w:numId w:val="12"/>
        </w:numPr>
        <w:spacing w:before="120" w:after="120" w:line="288" w:lineRule="auto"/>
        <w:ind w:left="0"/>
        <w:jc w:val="left"/>
      </w:pPr>
      <w:r>
        <w:rPr>
          <w:rFonts w:eastAsia="等线" w:ascii="Arial" w:cs="Arial" w:hAnsi="Arial"/>
          <w:color w:val="1f2329"/>
          <w:sz w:val="22"/>
        </w:rPr>
        <w:t>甲方确认已经知悉并完全理解第三方支付渠道有关行业限制、禁止行为、禁售商品及服务的全部规定，保证遵守该等规定，确保通过乙方服务平台及使用各支付渠道时不加入任何违反前述规定、国家有关法律、法规及中华人民共和国承认或加入的国际条约的内容，包括但不限于危害国家安全、淫秽色情、虚假、欺诈、侮辱、诽谤、恐吓或骚扰、侵犯他人知识产权、人身权或其他合法权益以及有违社会公序良俗的内容或产品、服务等。如甲方存在违反第三方支付渠道前述相关规定的任一情形的，甲方同意由第三方支付渠道根据相关约定予以处理，若甲方因此遭第三方支付渠道停用或禁用导致无法使用乙方平台服务的，由甲方自行负责。同时，就甲方前述行为，乙方有权主动按照本协议约定作出限制或拒绝甲方使用乙方服务平台、解除协议、不予退还预交费用、要求支付违约金等处理措施。</w:t>
      </w:r>
    </w:p>
    <w:p>
      <w:pPr>
        <w:numPr>
          <w:numId w:val="13"/>
        </w:numPr>
        <w:spacing w:before="120" w:after="120" w:line="288" w:lineRule="auto"/>
        <w:ind w:left="0"/>
        <w:jc w:val="left"/>
      </w:pPr>
      <w:r>
        <w:rPr>
          <w:rFonts w:eastAsia="等线" w:ascii="Arial" w:cs="Arial" w:hAnsi="Arial"/>
          <w:color w:val="1f2329"/>
          <w:sz w:val="22"/>
        </w:rPr>
        <w:t>若甲方开通多级账户系统的，本协议中有关甲方义务及责任的相关条款当然适用于甲方管理平台上的子商户，甲方应对其管理平台内的子商户的审核创建、经营活动等进行监督管理，子商户在管理平台内违反本协议约定的，双方确认乙方有权依照本协议约定内容处理。</w:t>
      </w:r>
    </w:p>
    <w:p>
      <w:pPr>
        <w:numPr>
          <w:numId w:val="14"/>
        </w:numPr>
        <w:spacing w:before="120" w:after="120" w:line="288" w:lineRule="auto"/>
        <w:ind w:left="0"/>
        <w:jc w:val="left"/>
      </w:pPr>
      <w:r>
        <w:rPr>
          <w:rFonts w:eastAsia="等线" w:ascii="Arial" w:cs="Arial" w:hAnsi="Arial"/>
          <w:color w:val="1f2329"/>
          <w:sz w:val="22"/>
        </w:rPr>
        <w:t>甲方应妥善保管第三方支付渠道、乙方分配的身份、账户信息及相关秘钥，甲方须对该身份和密码下发生的所有活动承担责任，若发生盗用、擅用等造成经济损失的依法由擅用人承担或由甲方自行承担。</w:t>
      </w:r>
    </w:p>
    <w:p>
      <w:pPr>
        <w:numPr>
          <w:numId w:val="15"/>
        </w:numPr>
        <w:spacing w:before="120" w:after="120" w:line="288" w:lineRule="auto"/>
        <w:ind w:left="0"/>
        <w:jc w:val="left"/>
      </w:pPr>
      <w:r>
        <w:rPr>
          <w:rFonts w:eastAsia="等线" w:ascii="Arial" w:cs="Arial" w:hAnsi="Arial"/>
          <w:color w:val="1f2329"/>
          <w:sz w:val="22"/>
        </w:rPr>
        <w:t>甲方自行处理与客户的产品和服务交付，按照服务约定履行职责。因产品和服务质量及交付所产生的纠纷及责任，由甲方自行处理承担。</w:t>
      </w:r>
    </w:p>
    <w:p>
      <w:pPr>
        <w:numPr>
          <w:numId w:val="16"/>
        </w:numPr>
        <w:spacing w:before="120" w:after="120" w:line="288" w:lineRule="auto"/>
        <w:ind w:left="0"/>
        <w:jc w:val="left"/>
      </w:pPr>
      <w:r>
        <w:rPr>
          <w:rFonts w:eastAsia="等线" w:ascii="Arial" w:cs="Arial" w:hAnsi="Arial"/>
          <w:color w:val="1f2329"/>
          <w:sz w:val="22"/>
        </w:rPr>
        <w:t>甲方确认，第三方支付渠道向甲方提供的全部服务（包括但不限于支付宝渠道“直连服务商综合解决方案”服务），由各支付渠道主体保证相关服务质量，乙方不负责第三方支付渠道对甲方的商户资质审核、受理协议签订、资金结算等，乙方无需对各支付渠道所提供的服务质量、内容及各支付渠道交易过程（包括但不限于支付宝渠道“直连服务商综合解决方案”服务）中的交易风险承担任何保证责任。</w:t>
      </w:r>
    </w:p>
    <w:p>
      <w:pPr>
        <w:numPr>
          <w:numId w:val="17"/>
        </w:numPr>
        <w:spacing w:before="120" w:after="120" w:line="288" w:lineRule="auto"/>
        <w:ind w:left="0"/>
        <w:jc w:val="left"/>
      </w:pPr>
      <w:r>
        <w:rPr>
          <w:rFonts w:eastAsia="等线" w:ascii="Arial" w:cs="Arial" w:hAnsi="Arial"/>
          <w:color w:val="1f2329"/>
          <w:sz w:val="22"/>
        </w:rPr>
        <w:t>若甲方委托乙方提供支付宝“直连服务商综合解决方案”服务商技术服务的，甲方应与支付宝达成支付宝服务合同并保证合同持续有效，同时甲方应在支付宝渠道中确认同意使用支付宝“直连服务商综合解决方案”功能，并确保使用该功能时在甲方传输给支付宝的交易参数中带入了乙方的服务商PID。</w:t>
      </w:r>
    </w:p>
    <w:p>
      <w:pPr>
        <w:spacing w:before="120" w:after="120" w:line="288" w:lineRule="auto"/>
        <w:ind w:left="0" w:firstLine="0"/>
        <w:jc w:val="left"/>
      </w:pPr>
      <w:r>
        <w:rPr>
          <w:rFonts w:eastAsia="等线" w:ascii="Arial" w:cs="Arial" w:hAnsi="Arial"/>
          <w:b w:val="true"/>
          <w:color w:val="1f2329"/>
          <w:sz w:val="22"/>
        </w:rPr>
        <w:t>乙方</w:t>
      </w:r>
    </w:p>
    <w:p>
      <w:pPr>
        <w:numPr>
          <w:numId w:val="18"/>
        </w:numPr>
        <w:spacing w:before="120" w:after="120" w:line="288" w:lineRule="auto"/>
        <w:ind w:left="0"/>
        <w:jc w:val="left"/>
      </w:pPr>
      <w:r>
        <w:rPr>
          <w:rFonts w:eastAsia="等线" w:ascii="Arial" w:cs="Arial" w:hAnsi="Arial"/>
          <w:color w:val="1f2329"/>
          <w:sz w:val="22"/>
        </w:rPr>
        <w:t>负责开发建设满足甲方需求及甲方选定服务套餐对应功能的移动支付接口和支付处理系统、服务平台，交易可通过乙方支付处理系统接入对应的第三方支付渠道。支付接口包括用于移动端和PC端的 SDK 套件及商户后台服务器端使用的 SDK 或 API 接口。</w:t>
      </w:r>
    </w:p>
    <w:p>
      <w:pPr>
        <w:numPr>
          <w:numId w:val="19"/>
        </w:numPr>
        <w:spacing w:before="120" w:after="120" w:line="288" w:lineRule="auto"/>
        <w:ind w:left="0"/>
        <w:jc w:val="left"/>
      </w:pPr>
      <w:r>
        <w:rPr>
          <w:rFonts w:eastAsia="等线" w:ascii="Arial" w:cs="Arial" w:hAnsi="Arial"/>
          <w:color w:val="1f2329"/>
          <w:sz w:val="22"/>
        </w:rPr>
        <w:t>根据甲方需求向甲方提供产品技术文档，建立相应服务支持体系并提供必要的支持，协助甲方实现支付功能的开发，使得业务如期上线。</w:t>
      </w:r>
    </w:p>
    <w:p>
      <w:pPr>
        <w:numPr>
          <w:numId w:val="20"/>
        </w:numPr>
        <w:spacing w:before="120" w:after="120" w:line="288" w:lineRule="auto"/>
        <w:ind w:left="0"/>
        <w:jc w:val="left"/>
      </w:pPr>
      <w:r>
        <w:rPr>
          <w:rFonts w:eastAsia="等线" w:ascii="Arial" w:cs="Arial" w:hAnsi="Arial"/>
          <w:color w:val="1f2329"/>
          <w:sz w:val="22"/>
        </w:rPr>
        <w:t>对自身支付处理系统和服务进行管理，建立持续改进和提升计划，同时完善内部流程和制度，确保服务协议中各项承诺严格执行。</w:t>
      </w:r>
    </w:p>
    <w:p>
      <w:pPr>
        <w:numPr>
          <w:numId w:val="21"/>
        </w:numPr>
        <w:spacing w:before="120" w:after="120" w:line="288" w:lineRule="auto"/>
        <w:ind w:left="0"/>
        <w:jc w:val="left"/>
      </w:pPr>
      <w:r>
        <w:rPr>
          <w:rFonts w:eastAsia="等线" w:ascii="Arial" w:cs="Arial" w:hAnsi="Arial"/>
          <w:color w:val="1f2329"/>
          <w:sz w:val="22"/>
        </w:rPr>
        <w:t>按照甲方所发出的交易指令协助甲方根据第三方支付渠道规则进行严格处理，尽最大努力确保交易数据处理的安全性、及时性和准确性。确保甲方相应支付渠道的商户身份信息的安全存放和使用。</w:t>
      </w:r>
    </w:p>
    <w:p>
      <w:pPr>
        <w:numPr>
          <w:numId w:val="22"/>
        </w:numPr>
        <w:spacing w:before="120" w:after="120" w:line="288" w:lineRule="auto"/>
        <w:ind w:left="0"/>
        <w:jc w:val="left"/>
      </w:pPr>
      <w:r>
        <w:rPr>
          <w:rFonts w:eastAsia="等线" w:ascii="Arial" w:cs="Arial" w:hAnsi="Arial"/>
          <w:color w:val="1f2329"/>
          <w:sz w:val="22"/>
        </w:rPr>
        <w:t>乙方仅负责协助进行交易信息的处理，对按照第三方支付渠道进行的交易处理（包括但不限于支付宝渠道“直连服务商综合解决方案”服务）结果（包括成功和不成功的交易结果）及支付渠道服务质量、内容、交易风险不承担责任。</w:t>
      </w:r>
    </w:p>
    <w:p>
      <w:pPr>
        <w:numPr>
          <w:numId w:val="23"/>
        </w:numPr>
        <w:spacing w:before="120" w:after="120" w:line="288" w:lineRule="auto"/>
        <w:ind w:left="0"/>
        <w:jc w:val="left"/>
      </w:pPr>
      <w:r>
        <w:rPr>
          <w:rFonts w:eastAsia="等线" w:ascii="Arial" w:cs="Arial" w:hAnsi="Arial"/>
          <w:color w:val="1f2329"/>
          <w:sz w:val="22"/>
        </w:rPr>
        <w:t>乙方有权根据甲方选择的服务套餐收取服务费用，甲方未付清全部费用前，乙方无需履行本协议约定服务内容。</w:t>
      </w:r>
    </w:p>
    <w:p>
      <w:pPr>
        <w:numPr>
          <w:numId w:val="24"/>
        </w:numPr>
        <w:spacing w:before="120" w:after="120" w:line="288" w:lineRule="auto"/>
        <w:ind w:left="0"/>
        <w:jc w:val="left"/>
      </w:pPr>
      <w:r>
        <w:rPr>
          <w:rFonts w:eastAsia="等线" w:ascii="Arial" w:cs="Arial" w:hAnsi="Arial"/>
          <w:color w:val="1f2329"/>
          <w:sz w:val="22"/>
        </w:rPr>
        <w:t>乙方根据甲方购买的乙方服务套餐标准提供对应服务，甲方使用乙方服务超出甲方购买套餐标准的，且在超量账单付费到期日仍未完成超量付款或套餐升级的，乙方保留暂停、限制或终止甲方使用对应服务（含再次超量使用服务）的权利，因此造成甲方损失的，由甲方自行承担。同时，乙方保留依据本协议约定对后付费服务及超量服务的欠费行为追究法律责任的权利。</w:t>
      </w:r>
    </w:p>
    <w:p>
      <w:pPr>
        <w:pStyle w:val="2"/>
        <w:spacing w:before="320" w:after="120" w:line="288" w:lineRule="auto"/>
        <w:ind w:left="0"/>
        <w:jc w:val="left"/>
        <w:outlineLvl w:val="1"/>
      </w:pPr>
      <w:bookmarkStart w:name="heading_6" w:id="6"/>
      <w:r>
        <w:rPr>
          <w:rFonts w:eastAsia="等线" w:ascii="Arial" w:cs="Arial" w:hAnsi="Arial"/>
          <w:color w:val="3370ff"/>
          <w:sz w:val="32"/>
        </w:rPr>
        <w:t xml:space="preserve">3. </w:t>
      </w:r>
      <w:r>
        <w:rPr>
          <w:rFonts w:eastAsia="等线" w:ascii="Arial" w:cs="Arial" w:hAnsi="Arial"/>
          <w:b w:val="true"/>
          <w:color w:val="1f2329"/>
          <w:sz w:val="32"/>
        </w:rPr>
        <w:t>费用</w:t>
      </w:r>
      <w:bookmarkEnd w:id="6"/>
    </w:p>
    <w:p>
      <w:pPr>
        <w:pStyle w:val="6"/>
        <w:spacing w:before="240" w:after="120" w:line="288" w:lineRule="auto"/>
        <w:ind w:left="0"/>
        <w:jc w:val="left"/>
        <w:outlineLvl w:val="5"/>
      </w:pPr>
      <w:bookmarkStart w:name="heading_7" w:id="7"/>
      <w:r>
        <w:rPr>
          <w:rFonts w:eastAsia="等线" w:ascii="Arial" w:cs="Arial" w:hAnsi="Arial"/>
          <w:color w:val="3370ff"/>
          <w:sz w:val="24"/>
        </w:rPr>
        <w:t xml:space="preserve">3.1 </w:t>
      </w:r>
      <w:r>
        <w:rPr>
          <w:rFonts w:eastAsia="等线" w:ascii="Arial" w:cs="Arial" w:hAnsi="Arial"/>
          <w:b w:val="true"/>
          <w:color w:val="1f2329"/>
          <w:sz w:val="24"/>
        </w:rPr>
        <w:t>乙方服务费用：</w:t>
      </w:r>
      <w:bookmarkEnd w:id="7"/>
    </w:p>
    <w:p>
      <w:pPr>
        <w:numPr>
          <w:numId w:val="25"/>
        </w:numPr>
        <w:spacing w:before="120" w:after="120" w:line="288" w:lineRule="auto"/>
        <w:ind w:left="0"/>
        <w:jc w:val="left"/>
      </w:pPr>
      <w:r>
        <w:rPr>
          <w:rFonts w:eastAsia="等线" w:ascii="Arial" w:cs="Arial" w:hAnsi="Arial"/>
          <w:color w:val="1f2329"/>
          <w:sz w:val="22"/>
        </w:rPr>
        <w:t>就乙方提供的移动支付接口及支付处理系统平台服务具体内容，甲方同意购买乙方服务套餐中的___《                                    》____，套餐价值为：人民币</w:t>
      </w:r>
      <w:r>
        <w:rPr>
          <w:rFonts w:eastAsia="等线" w:ascii="Arial" w:cs="Arial" w:hAnsi="Arial"/>
          <w:color w:val="1f2329"/>
          <w:sz w:val="22"/>
          <w:u w:val="single"/>
        </w:rPr>
        <w:t xml:space="preserve">            </w:t>
      </w:r>
      <w:r>
        <w:rPr>
          <w:rFonts w:eastAsia="等线" w:ascii="Arial" w:cs="Arial" w:hAnsi="Arial"/>
          <w:color w:val="1f2329"/>
          <w:sz w:val="22"/>
        </w:rPr>
        <w:t xml:space="preserve"> 元整（大写：【     】整），实际支付价格为： 人民币</w:t>
      </w:r>
      <w:r>
        <w:rPr>
          <w:rFonts w:eastAsia="等线" w:ascii="Arial" w:cs="Arial" w:hAnsi="Arial"/>
          <w:color w:val="1f2329"/>
          <w:sz w:val="22"/>
          <w:u w:val="single"/>
        </w:rPr>
        <w:t xml:space="preserve">            </w:t>
      </w:r>
      <w:r>
        <w:rPr>
          <w:rFonts w:eastAsia="等线" w:ascii="Arial" w:cs="Arial" w:hAnsi="Arial"/>
          <w:color w:val="1f2329"/>
          <w:sz w:val="22"/>
        </w:rPr>
        <w:t xml:space="preserve"> 元整（大写：【     】整），套餐内容详见本协议附《服务内容及收费标准》；</w:t>
      </w:r>
    </w:p>
    <w:p>
      <w:pPr>
        <w:spacing w:before="120" w:after="120" w:line="288" w:lineRule="auto"/>
        <w:ind w:left="0" w:firstLine="0"/>
        <w:jc w:val="left"/>
      </w:pPr>
      <w:r>
        <w:rPr>
          <w:rFonts w:eastAsia="等线" w:ascii="Arial" w:cs="Arial" w:hAnsi="Arial"/>
          <w:color w:val="1f2329"/>
          <w:sz w:val="22"/>
          <w:shd w:fill="ffe928"/>
        </w:rPr>
        <w:t>就乙方提供的支付宝渠道“直连服务商综合解决方案”服务商技术服务，甲方同意技术服务费按照如下标准执行：</w:t>
      </w:r>
    </w:p>
    <w:p>
      <w:pPr>
        <w:spacing w:before="120" w:after="120" w:line="288" w:lineRule="auto"/>
        <w:ind w:left="0" w:firstLine="0"/>
        <w:jc w:val="left"/>
      </w:pPr>
      <w:r>
        <w:rPr>
          <w:rFonts w:eastAsia="等线" w:ascii="Arial" w:cs="Arial" w:hAnsi="Arial"/>
          <w:color w:val="1f2329"/>
          <w:sz w:val="22"/>
          <w:shd w:fill="ffe928"/>
        </w:rPr>
        <w:t>【依据甲方在支付宝渠道的商户交易金额*相应费率并按标准单笔计费，具体费率如下：【 】%。</w:t>
      </w:r>
    </w:p>
    <w:p>
      <w:pPr>
        <w:spacing w:before="120" w:after="120" w:line="288" w:lineRule="auto"/>
        <w:ind w:left="0" w:firstLine="0"/>
        <w:jc w:val="left"/>
      </w:pPr>
      <w:r>
        <w:rPr>
          <w:rFonts w:eastAsia="等线" w:ascii="Arial" w:cs="Arial" w:hAnsi="Arial"/>
          <w:color w:val="1f2329"/>
          <w:sz w:val="22"/>
          <w:shd w:fill="ffe928"/>
        </w:rPr>
        <w:t>前述</w:t>
      </w:r>
      <w:r>
        <w:rPr>
          <w:rFonts w:eastAsia="等线" w:ascii="Arial" w:cs="Arial" w:hAnsi="Arial"/>
          <w:b w:val="true"/>
          <w:color w:val="1f2329"/>
          <w:sz w:val="22"/>
          <w:shd w:fill="ffe928"/>
        </w:rPr>
        <w:t>商户交易金额</w:t>
      </w:r>
      <w:r>
        <w:rPr>
          <w:rFonts w:eastAsia="等线" w:ascii="Arial" w:cs="Arial" w:hAnsi="Arial"/>
          <w:color w:val="1f2329"/>
          <w:sz w:val="22"/>
          <w:shd w:fill="ffe928"/>
        </w:rPr>
        <w:t>是指由支付宝软件系统所统计的甲方通过使用支付宝服务所完成交易的金额（包括但不限于货款、运费）。乙方将通过支付宝软件系统统计全部有效交易金额，交易金额是否有效以支付宝渠道判定为准，该等交易金额将作为乙方向甲方收费的依据。</w:t>
      </w:r>
    </w:p>
    <w:p>
      <w:pPr>
        <w:spacing w:before="120" w:after="120" w:line="288" w:lineRule="auto"/>
        <w:ind w:left="0" w:firstLine="0"/>
        <w:jc w:val="left"/>
      </w:pPr>
      <w:r>
        <w:rPr>
          <w:rFonts w:eastAsia="等线" w:ascii="Arial" w:cs="Arial" w:hAnsi="Arial"/>
          <w:color w:val="1f2329"/>
          <w:sz w:val="22"/>
          <w:shd w:fill="ffe928"/>
        </w:rPr>
        <w:t>前述服务商技术服务费用由乙方直接通过支付宝渠道自甲方的支付宝账户扣取。】</w:t>
      </w:r>
    </w:p>
    <w:p>
      <w:pPr>
        <w:numPr>
          <w:numId w:val="26"/>
        </w:numPr>
        <w:spacing w:before="120" w:after="120" w:line="288" w:lineRule="auto"/>
        <w:ind w:left="0"/>
        <w:jc w:val="left"/>
      </w:pPr>
      <w:r>
        <w:rPr>
          <w:rFonts w:eastAsia="等线" w:ascii="Arial" w:cs="Arial" w:hAnsi="Arial"/>
          <w:color w:val="1f2329"/>
          <w:sz w:val="22"/>
        </w:rPr>
        <w:t>甲方购买前述服务的期限：______年______月______日 至 ______年______月______日；</w:t>
      </w:r>
    </w:p>
    <w:p>
      <w:pPr>
        <w:numPr>
          <w:numId w:val="27"/>
        </w:numPr>
        <w:spacing w:before="120" w:after="120" w:line="288" w:lineRule="auto"/>
        <w:ind w:left="0"/>
        <w:jc w:val="left"/>
      </w:pPr>
      <w:r>
        <w:rPr>
          <w:rFonts w:eastAsia="等线" w:ascii="Arial" w:cs="Arial" w:hAnsi="Arial"/>
          <w:color w:val="1f2329"/>
          <w:sz w:val="22"/>
        </w:rPr>
        <w:t>就乙方提供的移动支付接口及支付处理系统平台服务具体内容，甲方就自身需求，选定乙方所提供的企业级服务套餐相应内容 。</w:t>
      </w:r>
    </w:p>
    <w:p>
      <w:pPr>
        <w:numPr>
          <w:numId w:val="28"/>
        </w:numPr>
        <w:spacing w:before="120" w:after="120" w:line="288" w:lineRule="auto"/>
        <w:ind w:left="0"/>
        <w:jc w:val="left"/>
      </w:pPr>
      <w:r>
        <w:rPr>
          <w:rFonts w:eastAsia="等线" w:ascii="Arial" w:cs="Arial" w:hAnsi="Arial"/>
          <w:color w:val="1f2329"/>
          <w:sz w:val="22"/>
        </w:rPr>
        <w:t>服务期限内总服务费用为预付费形式，甲方应于本协议签订后的【   】天内付清全部款项，乙方应为甲方开具合法发票。乙方收款账户如下：</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b w:val="true"/>
          <w:color w:val="1f2329"/>
          <w:sz w:val="22"/>
        </w:rPr>
        <w:t>银行账户：</w:t>
      </w:r>
    </w:p>
    <w:p>
      <w:pPr>
        <w:spacing w:before="120" w:after="120" w:line="288" w:lineRule="auto"/>
        <w:ind w:left="0" w:firstLine="0"/>
        <w:jc w:val="left"/>
      </w:pPr>
      <w:r>
        <w:rPr>
          <w:rFonts w:eastAsia="等线" w:ascii="Arial" w:cs="Arial" w:hAnsi="Arial"/>
          <w:color w:val="1f2329"/>
          <w:sz w:val="22"/>
        </w:rPr>
        <w:t>公司名称：【上海简米网络科技有限公司】，</w:t>
      </w:r>
    </w:p>
    <w:p>
      <w:pPr>
        <w:spacing w:before="120" w:after="120" w:line="288" w:lineRule="auto"/>
        <w:ind w:left="0" w:firstLine="0"/>
        <w:jc w:val="left"/>
      </w:pPr>
      <w:r>
        <w:rPr>
          <w:rFonts w:eastAsia="等线" w:ascii="Arial" w:cs="Arial" w:hAnsi="Arial"/>
          <w:color w:val="1f2329"/>
          <w:sz w:val="22"/>
        </w:rPr>
        <w:t>银行账号：【1001194909006980545】</w:t>
      </w:r>
    </w:p>
    <w:p>
      <w:pPr>
        <w:spacing w:before="120" w:after="120" w:line="288" w:lineRule="auto"/>
        <w:ind w:left="0" w:firstLine="0"/>
        <w:jc w:val="left"/>
      </w:pPr>
      <w:r>
        <w:rPr>
          <w:rFonts w:eastAsia="等线" w:ascii="Arial" w:cs="Arial" w:hAnsi="Arial"/>
          <w:color w:val="1f2329"/>
          <w:sz w:val="22"/>
        </w:rPr>
        <w:t>开户行：【中国工商银行股份有限公司上海市张江支行】；</w:t>
      </w:r>
    </w:p>
    <w:p>
      <w:pPr>
        <w:spacing w:before="120" w:after="120" w:line="288" w:lineRule="auto"/>
        <w:ind w:left="0" w:firstLine="0"/>
        <w:jc w:val="left"/>
      </w:pPr>
      <w:r>
        <w:rPr>
          <w:rFonts w:eastAsia="等线" w:ascii="Arial" w:cs="Arial" w:hAnsi="Arial"/>
          <w:color w:val="1f2329"/>
          <w:sz w:val="22"/>
        </w:rPr>
        <w:t>或选择在线支付模式：微信扫码支付、支付宝支付、银联网关支付、企业网银支付等支付方式。</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b w:val="true"/>
          <w:color w:val="1f2329"/>
          <w:sz w:val="22"/>
        </w:rPr>
        <w:t>支付宝账户：</w:t>
      </w:r>
      <w:r>
        <w:rPr>
          <w:rFonts w:eastAsia="等线" w:ascii="Arial" w:cs="Arial" w:hAnsi="Arial"/>
          <w:color w:val="1f2329"/>
          <w:sz w:val="22"/>
        </w:rPr>
        <w:t xml:space="preserve"> </w:t>
      </w:r>
    </w:p>
    <w:p>
      <w:pPr>
        <w:spacing w:before="120" w:after="120" w:line="288" w:lineRule="auto"/>
        <w:ind w:left="0" w:firstLine="0"/>
        <w:jc w:val="left"/>
      </w:pPr>
      <w:r>
        <w:rPr>
          <w:rFonts w:eastAsia="等线" w:ascii="Arial" w:cs="Arial" w:hAnsi="Arial"/>
          <w:color w:val="1f2329"/>
          <w:sz w:val="22"/>
        </w:rPr>
        <w:t>公司名称：【上海简米网络科技有限公司】</w:t>
      </w:r>
    </w:p>
    <w:p>
      <w:pPr>
        <w:spacing w:before="120" w:after="120" w:line="288" w:lineRule="auto"/>
        <w:ind w:left="0" w:firstLine="0"/>
        <w:jc w:val="left"/>
      </w:pPr>
      <w:r>
        <w:rPr>
          <w:rFonts w:eastAsia="等线" w:ascii="Arial" w:cs="Arial" w:hAnsi="Arial"/>
          <w:color w:val="1f2329"/>
          <w:sz w:val="22"/>
        </w:rPr>
        <w:t>支付宝账户：【payment@pingplusplus.com】</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甲方如通过个人账号打款到乙方账号，需填写附件一的《付款委托书》。</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b w:val="true"/>
          <w:color w:val="1f2329"/>
          <w:sz w:val="22"/>
        </w:rPr>
        <w:t>甲方的开票信息如下：</w:t>
      </w:r>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4140"/>
        <w:gridCol w:w="4140"/>
      </w:tblGrid>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发票类型</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增值税普通发票             ☐ 增值税专用发票</w:t>
            </w:r>
          </w:p>
        </w:tc>
      </w:tr>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公司名称</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xml:space="preserve">                                            </w:t>
            </w:r>
          </w:p>
        </w:tc>
      </w:tr>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纳税人识别号</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xml:space="preserve">                                            </w:t>
            </w:r>
          </w:p>
        </w:tc>
      </w:tr>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公司地址</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xml:space="preserve">                                            </w:t>
            </w:r>
          </w:p>
        </w:tc>
      </w:tr>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电话</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xml:space="preserve">                                            </w:t>
            </w:r>
          </w:p>
        </w:tc>
      </w:tr>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开户行</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xml:space="preserve">                                            </w:t>
            </w:r>
          </w:p>
        </w:tc>
      </w:tr>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账号</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xml:space="preserve">                                            </w:t>
            </w:r>
          </w:p>
        </w:tc>
      </w:tr>
      <w:tr>
        <w:tc>
          <w:tcPr>
            <w:tcW w:w="4140" w:type="dxa"/>
            <w:tcMar>
              <w:top w:type="dxa" w:w="60"/>
              <w:left w:type="dxa" w:w="120"/>
              <w:bottom w:type="dxa" w:w="30"/>
              <w:right w:type="dxa" w:w="120"/>
            </w:tcMar>
          </w:tcPr>
          <w:p>
            <w:pPr>
              <w:spacing w:before="120" w:after="120" w:line="288" w:lineRule="auto"/>
              <w:ind w:left="0"/>
              <w:jc w:val="center"/>
            </w:pPr>
            <w:r>
              <w:rPr>
                <w:rFonts w:eastAsia="等线" w:ascii="Arial" w:cs="Arial" w:hAnsi="Arial"/>
                <w:b w:val="true"/>
                <w:color w:val="1f2329"/>
                <w:sz w:val="22"/>
              </w:rPr>
              <w:t>金额</w:t>
            </w:r>
          </w:p>
        </w:tc>
        <w:tc>
          <w:tcPr>
            <w:tcW w:w="4140" w:type="dxa"/>
            <w:tcMar>
              <w:top w:type="dxa" w:w="60"/>
              <w:left w:type="dxa" w:w="120"/>
              <w:bottom w:type="dxa" w:w="30"/>
              <w:right w:type="dxa" w:w="120"/>
            </w:tcMar>
          </w:tcPr>
          <w:p>
            <w:pPr>
              <w:spacing w:before="120" w:after="120" w:line="288" w:lineRule="auto"/>
              <w:ind w:left="0"/>
              <w:jc w:val="left"/>
            </w:pPr>
            <w:r>
              <w:rPr>
                <w:rFonts w:eastAsia="等线" w:ascii="Arial" w:cs="Arial" w:hAnsi="Arial"/>
                <w:color w:val="1f2329"/>
                <w:sz w:val="22"/>
              </w:rPr>
              <w:t xml:space="preserve">                                            </w:t>
            </w:r>
          </w:p>
        </w:tc>
      </w:tr>
    </w:tbl>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5）甲方使用服务过程中，若使用服务超出购买套餐标准的，乙方将根据《服务内容及收费标准》出具超量账单，甲方收到账单后若有异议的，应在收到账单后【3】日内提出书面意见，如甲方在前述时间内未提出书面异议的，视为对账单的认可，甲方应在乙方账单要求的时间内付清全部费用。</w:t>
      </w:r>
    </w:p>
    <w:p>
      <w:pPr>
        <w:pStyle w:val="6"/>
        <w:spacing w:before="240" w:after="120" w:line="288" w:lineRule="auto"/>
        <w:ind w:left="0"/>
        <w:jc w:val="left"/>
        <w:outlineLvl w:val="5"/>
      </w:pPr>
      <w:bookmarkStart w:name="heading_8" w:id="8"/>
      <w:r>
        <w:rPr>
          <w:rFonts w:eastAsia="等线" w:ascii="Arial" w:cs="Arial" w:hAnsi="Arial"/>
          <w:color w:val="3370ff"/>
          <w:sz w:val="24"/>
        </w:rPr>
        <w:t xml:space="preserve">3.2 </w:t>
      </w:r>
      <w:r>
        <w:rPr>
          <w:rFonts w:eastAsia="等线" w:ascii="Arial" w:cs="Arial" w:hAnsi="Arial"/>
          <w:b w:val="true"/>
          <w:color w:val="1f2329"/>
          <w:sz w:val="24"/>
        </w:rPr>
        <w:t>第三方费用：</w:t>
      </w:r>
      <w:bookmarkEnd w:id="8"/>
    </w:p>
    <w:p>
      <w:pPr>
        <w:numPr>
          <w:numId w:val="29"/>
        </w:numPr>
        <w:spacing w:before="120" w:after="120" w:line="288" w:lineRule="auto"/>
        <w:ind w:left="0"/>
        <w:jc w:val="left"/>
      </w:pPr>
      <w:r>
        <w:rPr>
          <w:rFonts w:eastAsia="等线" w:ascii="Arial" w:cs="Arial" w:hAnsi="Arial"/>
          <w:color w:val="1f2329"/>
          <w:sz w:val="22"/>
        </w:rPr>
        <w:t>（1）第三方支付渠道交易手续费：根据甲方选择的不同移动支付产品，相应的第三方支付渠道会按照交易金额以一定的手续费扣率收取费用，该费率及清算周期由第三方支付渠道按照商户类型及交易规模具体确定，由甲方与第三支付渠道自行结算，一般由对应第三方支付渠道根据自由结算周期在资金清算过程中自动计算并扣除。</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（2）其他未明确费用种类，由第三方支付渠道与甲方自行确认结算。</w:t>
      </w:r>
    </w:p>
    <w:p>
      <w:pPr>
        <w:pStyle w:val="2"/>
        <w:spacing w:before="320" w:after="120" w:line="288" w:lineRule="auto"/>
        <w:ind w:left="0"/>
        <w:jc w:val="left"/>
        <w:outlineLvl w:val="1"/>
      </w:pPr>
      <w:bookmarkStart w:name="heading_9" w:id="9"/>
      <w:r>
        <w:rPr>
          <w:rFonts w:eastAsia="等线" w:ascii="Arial" w:cs="Arial" w:hAnsi="Arial"/>
          <w:color w:val="3370ff"/>
          <w:sz w:val="32"/>
        </w:rPr>
        <w:t xml:space="preserve">4. </w:t>
      </w:r>
      <w:r>
        <w:rPr>
          <w:rFonts w:eastAsia="等线" w:ascii="Arial" w:cs="Arial" w:hAnsi="Arial"/>
          <w:b w:val="true"/>
          <w:color w:val="1f2329"/>
          <w:sz w:val="32"/>
        </w:rPr>
        <w:t>合规责任</w:t>
      </w:r>
      <w:bookmarkEnd w:id="9"/>
    </w:p>
    <w:p>
      <w:pPr>
        <w:spacing w:before="120" w:after="120" w:line="288" w:lineRule="auto"/>
        <w:ind w:left="0" w:firstLine="0"/>
        <w:jc w:val="left"/>
      </w:pPr>
      <w:r>
        <w:rPr>
          <w:rFonts w:eastAsia="等线" w:ascii="Arial" w:cs="Arial" w:hAnsi="Arial"/>
          <w:b w:val="true"/>
          <w:color w:val="1f2329"/>
          <w:sz w:val="22"/>
        </w:rPr>
        <w:t>甲方</w:t>
      </w:r>
    </w:p>
    <w:p>
      <w:pPr>
        <w:numPr>
          <w:numId w:val="30"/>
        </w:numPr>
        <w:spacing w:before="120" w:after="120" w:line="288" w:lineRule="auto"/>
        <w:ind w:left="0"/>
        <w:jc w:val="left"/>
      </w:pPr>
      <w:r>
        <w:rPr>
          <w:rFonts w:eastAsia="等线" w:ascii="Arial" w:cs="Arial" w:hAnsi="Arial"/>
          <w:color w:val="1f2329"/>
          <w:sz w:val="22"/>
        </w:rPr>
        <w:t>甲方承诺，其签署本合同以及履行本合同项下义务，不会违反其营业执照、成立协议、章程或类似组织文件的任何规定；不会违反合同履行所涉及的其所在地的法律、法规、规章或政府的授权或批准；并且不会违反其作为当事人一方（或受之约束）的其他任何合同，也不会导致其在该合同项下违约。</w:t>
      </w:r>
    </w:p>
    <w:p>
      <w:pPr>
        <w:numPr>
          <w:numId w:val="31"/>
        </w:numPr>
        <w:spacing w:before="120" w:after="120" w:line="288" w:lineRule="auto"/>
        <w:ind w:left="0"/>
        <w:jc w:val="left"/>
      </w:pPr>
      <w:r>
        <w:rPr>
          <w:rFonts w:eastAsia="等线" w:ascii="Arial" w:cs="Arial" w:hAnsi="Arial"/>
          <w:color w:val="1f2329"/>
          <w:sz w:val="22"/>
        </w:rPr>
        <w:t>甲方承诺，并不存在影响该方履行本合同项下义务的能力的、已经发生且尚未了结的诉讼、仲裁或其他司法或行政程序。</w:t>
      </w:r>
    </w:p>
    <w:p>
      <w:pPr>
        <w:numPr>
          <w:numId w:val="32"/>
        </w:numPr>
        <w:spacing w:before="120" w:after="120" w:line="288" w:lineRule="auto"/>
        <w:ind w:left="0"/>
        <w:jc w:val="left"/>
      </w:pPr>
      <w:r>
        <w:rPr>
          <w:rFonts w:eastAsia="等线" w:ascii="Arial" w:cs="Arial" w:hAnsi="Arial"/>
          <w:color w:val="1f2329"/>
          <w:sz w:val="22"/>
        </w:rPr>
        <w:t>甲方已经向乙方披露任何政府机构颁布的已对其全面履行其在本合同项下义务的能力造成重大不利影响的所有文件，并且其此前提供给乙方的文件中没有对任何重要事实的不实陈述或者遗漏。</w:t>
      </w:r>
    </w:p>
    <w:p>
      <w:pPr>
        <w:numPr>
          <w:numId w:val="33"/>
        </w:numPr>
        <w:spacing w:before="120" w:after="120" w:line="288" w:lineRule="auto"/>
        <w:ind w:left="0"/>
        <w:jc w:val="left"/>
      </w:pPr>
      <w:r>
        <w:rPr>
          <w:rFonts w:eastAsia="等线" w:ascii="Arial" w:cs="Arial" w:hAnsi="Arial"/>
          <w:color w:val="1f2329"/>
          <w:sz w:val="22"/>
        </w:rPr>
        <w:t>甲方承诺所有向乙方提供的信息的正确性，包括但不限于甲方在乙方平台注册过程中提供的身份信息、联系方式、账户信息、企业资质信息以及通过邮寄方式提供的企业资质证明文件等。</w:t>
      </w:r>
    </w:p>
    <w:p>
      <w:pPr>
        <w:spacing w:before="120" w:after="120" w:line="288" w:lineRule="auto"/>
        <w:ind w:left="0" w:firstLine="0"/>
        <w:jc w:val="left"/>
      </w:pPr>
      <w:r>
        <w:rPr>
          <w:rFonts w:eastAsia="等线" w:ascii="Arial" w:cs="Arial" w:hAnsi="Arial"/>
          <w:b w:val="true"/>
          <w:color w:val="1f2329"/>
          <w:sz w:val="22"/>
        </w:rPr>
        <w:t>乙方</w:t>
      </w:r>
    </w:p>
    <w:p>
      <w:pPr>
        <w:numPr>
          <w:numId w:val="34"/>
        </w:numPr>
        <w:spacing w:before="120" w:after="120" w:line="288" w:lineRule="auto"/>
        <w:ind w:left="0"/>
        <w:jc w:val="left"/>
      </w:pPr>
      <w:r>
        <w:rPr>
          <w:rFonts w:eastAsia="等线" w:ascii="Arial" w:cs="Arial" w:hAnsi="Arial"/>
          <w:color w:val="1f2329"/>
          <w:sz w:val="22"/>
        </w:rPr>
        <w:t>乙方承诺，其签署本协议以及履行本协议下义务，不会违反其营业执照、成立协议、章程或类似组织文件中的任何规定；不会违反协议履行所涉及的中国法律、法规、规章或政府的授权或批准；并且不会违反其作为当事人一方（或受之约束）的其他任何合同，也不会导致其在该合同项下违约。</w:t>
      </w:r>
    </w:p>
    <w:p>
      <w:pPr>
        <w:numPr>
          <w:numId w:val="35"/>
        </w:numPr>
        <w:spacing w:before="120" w:after="120" w:line="288" w:lineRule="auto"/>
        <w:ind w:left="0"/>
        <w:jc w:val="left"/>
      </w:pPr>
      <w:r>
        <w:rPr>
          <w:rFonts w:eastAsia="等线" w:ascii="Arial" w:cs="Arial" w:hAnsi="Arial"/>
          <w:color w:val="1f2329"/>
          <w:sz w:val="22"/>
        </w:rPr>
        <w:t>乙方承诺，并不存在影响该方履行本协议项下义务的能力的、已经发生且尚未了结的诉讼、仲裁或其他司法或行政程序。</w:t>
      </w:r>
    </w:p>
    <w:p>
      <w:pPr>
        <w:numPr>
          <w:numId w:val="36"/>
        </w:numPr>
        <w:spacing w:before="120" w:after="120" w:line="288" w:lineRule="auto"/>
        <w:ind w:left="0"/>
        <w:jc w:val="left"/>
      </w:pPr>
      <w:r>
        <w:rPr>
          <w:rFonts w:eastAsia="等线" w:ascii="Arial" w:cs="Arial" w:hAnsi="Arial"/>
          <w:color w:val="1f2329"/>
          <w:sz w:val="22"/>
        </w:rPr>
        <w:t>乙方已经向甲方披露任何政府机构颁布的已对其全面履行其在本合同项下义务的能力造成重大不利影响的所有文件，并且其此前提供给甲方的文件中没有对任何重要事实的不实陈述或者遗漏。</w:t>
      </w:r>
    </w:p>
    <w:p>
      <w:pPr>
        <w:pStyle w:val="2"/>
        <w:spacing w:before="320" w:after="120" w:line="288" w:lineRule="auto"/>
        <w:ind w:left="0"/>
        <w:jc w:val="left"/>
        <w:outlineLvl w:val="1"/>
      </w:pPr>
      <w:bookmarkStart w:name="heading_10" w:id="10"/>
      <w:r>
        <w:rPr>
          <w:rFonts w:eastAsia="等线" w:ascii="Arial" w:cs="Arial" w:hAnsi="Arial"/>
          <w:color w:val="3370ff"/>
          <w:sz w:val="32"/>
        </w:rPr>
        <w:t xml:space="preserve">5. </w:t>
      </w:r>
      <w:r>
        <w:rPr>
          <w:rFonts w:eastAsia="等线" w:ascii="Arial" w:cs="Arial" w:hAnsi="Arial"/>
          <w:b w:val="true"/>
          <w:color w:val="1f2329"/>
          <w:sz w:val="32"/>
        </w:rPr>
        <w:t>保密条款、知识产权保护及隐私权</w:t>
      </w:r>
      <w:bookmarkEnd w:id="10"/>
    </w:p>
    <w:p>
      <w:pPr>
        <w:numPr>
          <w:numId w:val="37"/>
        </w:numPr>
        <w:spacing w:before="120" w:after="120" w:line="288" w:lineRule="auto"/>
        <w:ind w:left="0"/>
        <w:jc w:val="left"/>
      </w:pPr>
      <w:r>
        <w:rPr>
          <w:rFonts w:eastAsia="等线" w:ascii="Arial" w:cs="Arial" w:hAnsi="Arial"/>
          <w:color w:val="1f2329"/>
          <w:sz w:val="22"/>
        </w:rPr>
        <w:t>本协议履行过程中，协议一方（下称“接受方”）可能获取另一方（下称“披露方”）商业信息、知识产权（包括但不限于数据库、软件、著作、照片、录像、音乐、声音及其前述组合，软件编译、相关源代码和软件 (包括小应用程序和脚本) 档案、资讯、资料、架构、页面设计等版权、商标权、专利权、著作权）、业务运营、合作机构、商户及账户信息等。除非出于履行本协议需要，一方在任何时候应维护另一方机密信息的秘密性，不能泄漏且不得允许泄漏另一方的任何机密信息。特别的，为保护知识产权，任何一方非经对方书面同意，不得擅自使用、修改、复制、公开传播、改变、散布、发行或公开发表前述内容。</w:t>
      </w:r>
    </w:p>
    <w:p>
      <w:pPr>
        <w:numPr>
          <w:numId w:val="38"/>
        </w:numPr>
        <w:spacing w:before="120" w:after="120" w:line="288" w:lineRule="auto"/>
        <w:ind w:left="0"/>
        <w:jc w:val="left"/>
      </w:pPr>
      <w:r>
        <w:rPr>
          <w:rFonts w:eastAsia="等线" w:ascii="Arial" w:cs="Arial" w:hAnsi="Arial"/>
          <w:color w:val="1f2329"/>
          <w:sz w:val="22"/>
        </w:rPr>
        <w:t>为实现双方合作共赢，双方同意可授权对方基于商业宣传目的在各自网站、宣传材料等各推广平台上对对方的信息、企业名称、商标、字号等进行使用。</w:t>
      </w:r>
    </w:p>
    <w:p>
      <w:pPr>
        <w:numPr>
          <w:numId w:val="39"/>
        </w:numPr>
        <w:spacing w:before="120" w:after="120" w:line="288" w:lineRule="auto"/>
        <w:ind w:left="0"/>
        <w:jc w:val="left"/>
      </w:pPr>
      <w:r>
        <w:rPr>
          <w:rFonts w:eastAsia="等线" w:ascii="Arial" w:cs="Arial" w:hAnsi="Arial"/>
          <w:color w:val="1f2329"/>
          <w:sz w:val="22"/>
        </w:rPr>
        <w:t>协议任何一方应保证，与一方有工作关系并且由于其职位的缘故知悉关于另一方的保密信息的雇员和其他任何人员，在工作关系维持期间，以及在雇佣、职位或工作关系结束后（视情况而定）不得泄漏或披露任何机密信息。</w:t>
      </w:r>
    </w:p>
    <w:p>
      <w:pPr>
        <w:numPr>
          <w:numId w:val="40"/>
        </w:numPr>
        <w:spacing w:before="120" w:after="120" w:line="288" w:lineRule="auto"/>
        <w:ind w:left="0"/>
        <w:jc w:val="left"/>
      </w:pPr>
      <w:r>
        <w:rPr>
          <w:rFonts w:eastAsia="等线" w:ascii="Arial" w:cs="Arial" w:hAnsi="Arial"/>
          <w:color w:val="1f2329"/>
          <w:sz w:val="22"/>
        </w:rPr>
        <w:t>为本协议之目的，“机密信息”指与披露方有关的所有信息，不管是书面文字形式、图片形式、机器阅读形式、口头形式，或根据本协议观察的结果，包括但不限于步骤、想法、知识产权（不管是否注册或是否取得专利）、图表、交易机密、技术、客户名册（潜在的或实际的），以及其他客户相关信息、销售统计数据、市场报告、市场预测、营销及其他市场策略，以及其他具有机密性质的商业信息；但不包括接受方在接受信息前已经知道该信息并在使用与披露方面不存在限制，或该信息已经成为公共信息的情况（在不违背本协议的情况下），或信息接受方由第三方获取的无机密约束的信息，或相关法律、有约束力的判决、法院命令或仲裁裁决、证券交易规定或相关政府管理部门要求披露的情况。</w:t>
      </w:r>
    </w:p>
    <w:p>
      <w:pPr>
        <w:numPr>
          <w:numId w:val="41"/>
        </w:numPr>
        <w:spacing w:before="120" w:after="120" w:line="288" w:lineRule="auto"/>
        <w:ind w:left="0"/>
        <w:jc w:val="left"/>
      </w:pPr>
      <w:r>
        <w:rPr>
          <w:rFonts w:eastAsia="等线" w:ascii="Arial" w:cs="Arial" w:hAnsi="Arial"/>
          <w:color w:val="1f2329"/>
          <w:sz w:val="22"/>
        </w:rPr>
        <w:t>甲乙双方就其独立享有的知识产权（包括但不限于技术源代码、软件、数据、资料等相关的所有方面的知识产权，无论是否用于本协议）均享有唯一和排他的权利、所有权和权益。除非另有许可，本协议不构成双方之间任何知识产权的转让。</w:t>
      </w:r>
    </w:p>
    <w:p>
      <w:pPr>
        <w:numPr>
          <w:numId w:val="42"/>
        </w:numPr>
        <w:spacing w:before="120" w:after="120" w:line="288" w:lineRule="auto"/>
        <w:ind w:left="0"/>
        <w:jc w:val="left"/>
      </w:pPr>
      <w:r>
        <w:rPr>
          <w:rFonts w:eastAsia="等线" w:ascii="Arial" w:cs="Arial" w:hAnsi="Arial"/>
          <w:color w:val="1f2329"/>
          <w:sz w:val="22"/>
        </w:rPr>
        <w:t>除本协议另有约定外，本协议任何一方违反本条约定的，守约方有权解除本协议，并要求违约方支付损失赔偿金【50】万元，如守约方实际损失超过赔偿金数额的，守约方有权向违约方追偿。</w:t>
      </w:r>
    </w:p>
    <w:p>
      <w:pPr>
        <w:numPr>
          <w:numId w:val="43"/>
        </w:numPr>
        <w:spacing w:before="120" w:after="120" w:line="288" w:lineRule="auto"/>
        <w:ind w:left="0"/>
        <w:jc w:val="left"/>
      </w:pPr>
      <w:r>
        <w:rPr>
          <w:rFonts w:eastAsia="等线" w:ascii="Arial" w:cs="Arial" w:hAnsi="Arial"/>
          <w:color w:val="1f2329"/>
          <w:sz w:val="22"/>
        </w:rPr>
        <w:t>本协议终止后，本协议的保密条款仍然有效。</w:t>
      </w:r>
    </w:p>
    <w:p>
      <w:pPr>
        <w:numPr>
          <w:numId w:val="44"/>
        </w:numPr>
        <w:spacing w:before="120" w:after="120" w:line="288" w:lineRule="auto"/>
        <w:ind w:left="0"/>
        <w:jc w:val="left"/>
      </w:pPr>
      <w:r>
        <w:rPr>
          <w:rFonts w:eastAsia="等线" w:ascii="Arial" w:cs="Arial" w:hAnsi="Arial"/>
          <w:color w:val="1f2329"/>
          <w:sz w:val="22"/>
        </w:rPr>
        <w:t>甲方承诺知悉并同意，乙方有权在本协议约定的服务范围内或为履行本协议服务内容，自行或通过合作企业、第三方认证机构收集、查询、验证、使用及共享提供甲方信息；</w:t>
      </w:r>
    </w:p>
    <w:p>
      <w:pPr>
        <w:numPr>
          <w:numId w:val="45"/>
        </w:numPr>
        <w:spacing w:before="120" w:after="120" w:line="288" w:lineRule="auto"/>
        <w:ind w:left="0"/>
        <w:jc w:val="left"/>
      </w:pPr>
      <w:r>
        <w:rPr>
          <w:rFonts w:eastAsia="等线" w:ascii="Arial" w:cs="Arial" w:hAnsi="Arial"/>
          <w:color w:val="1f2329"/>
          <w:sz w:val="22"/>
        </w:rPr>
        <w:t>甲方承诺并保证，在使用乙方提供的协议项下的任一服务前，均已事先通过合法有效的方式获得其终端客户和各信息主体的充分合法的书面授权，该授权应允许甲方可以向除甲方外的其他机构（包括但不限于乙方及乙方的服务合作方、第三方认证机构）为履行合同目的而进行相关必要信息的查询、收集、验证、使用及共享。乙方对授权文件的要求并不免除甲方就前述授权文件的真实性、合法性、完整性所承担的相应责任。在甲方向乙方提起服务请求时，乙方有权视为甲方已得到其终端客户和信息主体的真实有效的授权。</w:t>
      </w:r>
    </w:p>
    <w:p>
      <w:pPr>
        <w:pStyle w:val="2"/>
        <w:spacing w:before="320" w:after="120" w:line="288" w:lineRule="auto"/>
        <w:ind w:left="0"/>
        <w:jc w:val="left"/>
        <w:outlineLvl w:val="1"/>
      </w:pPr>
      <w:bookmarkStart w:name="heading_11" w:id="11"/>
      <w:r>
        <w:rPr>
          <w:rFonts w:eastAsia="等线" w:ascii="Arial" w:cs="Arial" w:hAnsi="Arial"/>
          <w:color w:val="3370ff"/>
          <w:sz w:val="32"/>
        </w:rPr>
        <w:t xml:space="preserve">6. </w:t>
      </w:r>
      <w:r>
        <w:rPr>
          <w:rFonts w:eastAsia="等线" w:ascii="Arial" w:cs="Arial" w:hAnsi="Arial"/>
          <w:b w:val="true"/>
          <w:color w:val="1f2329"/>
          <w:sz w:val="32"/>
        </w:rPr>
        <w:t>赔偿</w:t>
      </w:r>
      <w:bookmarkEnd w:id="11"/>
    </w:p>
    <w:p>
      <w:pPr>
        <w:numPr>
          <w:numId w:val="46"/>
        </w:numPr>
        <w:spacing w:before="120" w:after="120" w:line="288" w:lineRule="auto"/>
        <w:ind w:left="0"/>
        <w:jc w:val="left"/>
      </w:pPr>
      <w:r>
        <w:rPr>
          <w:rFonts w:eastAsia="等线" w:ascii="Arial" w:cs="Arial" w:hAnsi="Arial"/>
          <w:color w:val="1f2329"/>
          <w:sz w:val="22"/>
        </w:rPr>
        <w:t>考虑到互联网服务的特殊性及行业标准，本协议履行过程中，违约方仅对守约方的实际损失承担赔偿责任。对于与本协议有关或由引起的有关间接的派生的损失（包括但不限于业务损失、收益损失、利润损失、商誉损失、数据或其他经济利益损失等），违约方不负有赔偿责任。</w:t>
      </w:r>
    </w:p>
    <w:p>
      <w:pPr>
        <w:numPr>
          <w:numId w:val="47"/>
        </w:numPr>
        <w:spacing w:before="120" w:after="120" w:line="288" w:lineRule="auto"/>
        <w:ind w:left="0"/>
        <w:jc w:val="left"/>
      </w:pPr>
      <w:r>
        <w:rPr>
          <w:rFonts w:eastAsia="等线" w:ascii="Arial" w:cs="Arial" w:hAnsi="Arial"/>
          <w:color w:val="1f2329"/>
          <w:sz w:val="22"/>
        </w:rPr>
        <w:t>为免异议，双方同意，各方对本协议服务条款所承担的违约赔偿责任总额均不得超过本协议约定的服务费用总额。</w:t>
      </w:r>
    </w:p>
    <w:p>
      <w:pPr>
        <w:numPr>
          <w:numId w:val="48"/>
        </w:numPr>
        <w:spacing w:before="120" w:after="120" w:line="288" w:lineRule="auto"/>
        <w:ind w:left="0"/>
        <w:jc w:val="left"/>
      </w:pPr>
      <w:r>
        <w:rPr>
          <w:rFonts w:eastAsia="等线" w:ascii="Arial" w:cs="Arial" w:hAnsi="Arial"/>
          <w:color w:val="1f2329"/>
          <w:sz w:val="22"/>
        </w:rPr>
        <w:t>如甲方逾期支付乙方服务费用的，每逾期一日，应承担欠付服务费用千分之三的违约金。</w:t>
      </w:r>
    </w:p>
    <w:p>
      <w:pPr>
        <w:pStyle w:val="2"/>
        <w:spacing w:before="320" w:after="120" w:line="288" w:lineRule="auto"/>
        <w:ind w:left="0"/>
        <w:jc w:val="left"/>
        <w:outlineLvl w:val="1"/>
      </w:pPr>
      <w:bookmarkStart w:name="heading_12" w:id="12"/>
      <w:r>
        <w:rPr>
          <w:rFonts w:eastAsia="等线" w:ascii="Arial" w:cs="Arial" w:hAnsi="Arial"/>
          <w:color w:val="3370ff"/>
          <w:sz w:val="32"/>
        </w:rPr>
        <w:t xml:space="preserve">7. </w:t>
      </w:r>
      <w:r>
        <w:rPr>
          <w:rFonts w:eastAsia="等线" w:ascii="Arial" w:cs="Arial" w:hAnsi="Arial"/>
          <w:b w:val="true"/>
          <w:color w:val="1f2329"/>
          <w:sz w:val="32"/>
        </w:rPr>
        <w:t>适用法律</w:t>
      </w:r>
      <w:bookmarkEnd w:id="12"/>
    </w:p>
    <w:p>
      <w:pPr>
        <w:spacing w:before="120" w:after="120" w:line="288" w:lineRule="auto"/>
        <w:ind w:left="0" w:firstLine="0"/>
        <w:jc w:val="left"/>
      </w:pPr>
      <w:r>
        <w:rPr>
          <w:rFonts w:eastAsia="等线" w:ascii="Arial" w:cs="Arial" w:hAnsi="Arial"/>
          <w:color w:val="1f2329"/>
          <w:sz w:val="22"/>
        </w:rPr>
        <w:t>本协议将适用中国大陆法律，并依中国大陆法律解释。</w:t>
      </w:r>
    </w:p>
    <w:p>
      <w:pPr>
        <w:pStyle w:val="2"/>
        <w:spacing w:before="320" w:after="120" w:line="288" w:lineRule="auto"/>
        <w:ind w:left="0"/>
        <w:jc w:val="left"/>
        <w:outlineLvl w:val="1"/>
      </w:pPr>
      <w:bookmarkStart w:name="heading_13" w:id="13"/>
      <w:r>
        <w:rPr>
          <w:rFonts w:eastAsia="等线" w:ascii="Arial" w:cs="Arial" w:hAnsi="Arial"/>
          <w:color w:val="3370ff"/>
          <w:sz w:val="32"/>
        </w:rPr>
        <w:t xml:space="preserve">8. </w:t>
      </w:r>
      <w:r>
        <w:rPr>
          <w:rFonts w:eastAsia="等线" w:ascii="Arial" w:cs="Arial" w:hAnsi="Arial"/>
          <w:b w:val="true"/>
          <w:color w:val="1f2329"/>
          <w:sz w:val="32"/>
        </w:rPr>
        <w:t>争议解决</w:t>
      </w:r>
      <w:bookmarkEnd w:id="13"/>
    </w:p>
    <w:p>
      <w:pPr>
        <w:spacing w:before="120" w:after="120" w:line="288" w:lineRule="auto"/>
        <w:ind w:left="0" w:firstLine="0"/>
        <w:jc w:val="left"/>
      </w:pPr>
      <w:r>
        <w:rPr>
          <w:rFonts w:eastAsia="等线" w:ascii="Arial" w:cs="Arial" w:hAnsi="Arial"/>
          <w:color w:val="1f2329"/>
          <w:sz w:val="22"/>
        </w:rPr>
        <w:t>所有有关本协议的争议将通过双方平等、友好的协商解决。如果协商不能解决争议，任何一方均有权向起诉方所在地有管辖权人民法院提起诉讼。</w:t>
      </w:r>
    </w:p>
    <w:p>
      <w:pPr>
        <w:pStyle w:val="2"/>
        <w:spacing w:before="320" w:after="120" w:line="288" w:lineRule="auto"/>
        <w:ind w:left="0"/>
        <w:jc w:val="left"/>
        <w:outlineLvl w:val="1"/>
      </w:pPr>
      <w:bookmarkStart w:name="heading_14" w:id="14"/>
      <w:r>
        <w:rPr>
          <w:rFonts w:eastAsia="等线" w:ascii="Arial" w:cs="Arial" w:hAnsi="Arial"/>
          <w:color w:val="3370ff"/>
          <w:sz w:val="32"/>
        </w:rPr>
        <w:t xml:space="preserve">9. </w:t>
      </w:r>
      <w:r>
        <w:rPr>
          <w:rFonts w:eastAsia="等线" w:ascii="Arial" w:cs="Arial" w:hAnsi="Arial"/>
          <w:b w:val="true"/>
          <w:color w:val="1f2329"/>
          <w:sz w:val="32"/>
        </w:rPr>
        <w:t>服务中断及不可抗力</w:t>
      </w:r>
      <w:bookmarkEnd w:id="14"/>
    </w:p>
    <w:p>
      <w:pPr>
        <w:pStyle w:val="6"/>
        <w:spacing w:before="240" w:after="120" w:line="288" w:lineRule="auto"/>
        <w:ind w:left="0"/>
        <w:jc w:val="left"/>
        <w:outlineLvl w:val="5"/>
      </w:pPr>
      <w:bookmarkStart w:name="heading_15" w:id="15"/>
      <w:r>
        <w:rPr>
          <w:rFonts w:eastAsia="等线" w:ascii="Arial" w:cs="Arial" w:hAnsi="Arial"/>
          <w:color w:val="3370ff"/>
          <w:sz w:val="24"/>
        </w:rPr>
        <w:t xml:space="preserve">9.1 </w:t>
      </w:r>
      <w:r>
        <w:rPr>
          <w:rFonts w:eastAsia="等线" w:ascii="Arial" w:cs="Arial" w:hAnsi="Arial"/>
          <w:b w:val="true"/>
          <w:color w:val="1f2329"/>
          <w:sz w:val="24"/>
        </w:rPr>
        <w:t>服务可用性</w:t>
      </w:r>
      <w:bookmarkEnd w:id="15"/>
    </w:p>
    <w:p>
      <w:pPr>
        <w:spacing w:before="120" w:after="120" w:line="288" w:lineRule="auto"/>
        <w:ind w:left="0" w:firstLine="0"/>
        <w:jc w:val="left"/>
      </w:pPr>
      <w:r>
        <w:rPr>
          <w:rFonts w:eastAsia="等线" w:ascii="Arial" w:cs="Arial" w:hAnsi="Arial"/>
          <w:color w:val="1f2329"/>
          <w:sz w:val="22"/>
        </w:rPr>
        <w:t xml:space="preserve">   若因乙方系统故障原因造成乙方持续3分钟或更长时间无法提供服务并造成如下结果之一的，则称之为乙方服务不可用：</w:t>
      </w:r>
    </w:p>
    <w:p>
      <w:pPr>
        <w:numPr>
          <w:numId w:val="49"/>
        </w:numPr>
        <w:spacing w:before="120" w:after="120" w:line="288" w:lineRule="auto"/>
        <w:ind w:left="0"/>
        <w:jc w:val="left"/>
      </w:pPr>
      <w:r>
        <w:rPr>
          <w:rFonts w:eastAsia="等线" w:ascii="Arial" w:cs="Arial" w:hAnsi="Arial"/>
          <w:color w:val="1f2329"/>
          <w:sz w:val="22"/>
        </w:rPr>
        <w:t>甲方无法正常创建支付订单请求（含收款、红包和付款三种场景，因甲方异步通知处理逻辑无主动查询机制或幂等处理机制导致乙方系统异步通知发送延迟或者重复发送造成的甲方支付订单结果获取延迟或重复处理除外）；</w:t>
      </w:r>
    </w:p>
    <w:p>
      <w:pPr>
        <w:numPr>
          <w:numId w:val="50"/>
        </w:numPr>
        <w:spacing w:before="120" w:after="120" w:line="288" w:lineRule="auto"/>
        <w:ind w:left="0"/>
        <w:jc w:val="left"/>
      </w:pPr>
      <w:r>
        <w:rPr>
          <w:rFonts w:eastAsia="等线" w:ascii="Arial" w:cs="Arial" w:hAnsi="Arial"/>
          <w:color w:val="1f2329"/>
          <w:sz w:val="22"/>
        </w:rPr>
        <w:t>甲方无法正常创建退款请求（不含退款状态确认）；</w:t>
      </w:r>
    </w:p>
    <w:p>
      <w:pPr>
        <w:spacing w:before="120" w:after="120" w:line="288" w:lineRule="auto"/>
        <w:ind w:left="0" w:firstLine="0"/>
        <w:jc w:val="left"/>
      </w:pPr>
      <w:r>
        <w:rPr>
          <w:rFonts w:eastAsia="等线" w:ascii="Arial" w:cs="Arial" w:hAnsi="Arial"/>
          <w:color w:val="1f2329"/>
          <w:sz w:val="22"/>
        </w:rPr>
        <w:t xml:space="preserve">   若乙方在持续3分钟或更长时间无法提供上述服务则记为乙方服务不可用时间，不可用时间最小单位为分钟。服务不可用时间低于3分钟的不纳入乙方服务不可用时间。</w:t>
      </w:r>
    </w:p>
    <w:p>
      <w:pPr>
        <w:pStyle w:val="6"/>
        <w:spacing w:before="240" w:after="120" w:line="288" w:lineRule="auto"/>
        <w:ind w:left="0"/>
        <w:jc w:val="left"/>
        <w:outlineLvl w:val="5"/>
      </w:pPr>
      <w:bookmarkStart w:name="heading_16" w:id="16"/>
      <w:r>
        <w:rPr>
          <w:rFonts w:eastAsia="等线" w:ascii="Arial" w:cs="Arial" w:hAnsi="Arial"/>
          <w:color w:val="3370ff"/>
          <w:sz w:val="24"/>
        </w:rPr>
        <w:t xml:space="preserve">9.2 </w:t>
      </w:r>
      <w:r>
        <w:rPr>
          <w:rFonts w:eastAsia="等线" w:ascii="Arial" w:cs="Arial" w:hAnsi="Arial"/>
          <w:b w:val="true"/>
          <w:color w:val="1f2329"/>
          <w:sz w:val="24"/>
        </w:rPr>
        <w:t>服务不可用的处理</w:t>
      </w:r>
      <w:bookmarkEnd w:id="16"/>
    </w:p>
    <w:p>
      <w:pPr>
        <w:spacing w:before="120" w:after="120" w:line="288" w:lineRule="auto"/>
        <w:ind w:left="0" w:firstLine="0"/>
        <w:jc w:val="left"/>
      </w:pPr>
      <w:r>
        <w:rPr>
          <w:rFonts w:eastAsia="等线" w:ascii="Arial" w:cs="Arial" w:hAnsi="Arial"/>
          <w:color w:val="1f2329"/>
          <w:sz w:val="22"/>
        </w:rPr>
        <w:t xml:space="preserve">   乙方服务中断后，乙方应及时予以排除故障，尽快恢复服务。</w:t>
      </w:r>
    </w:p>
    <w:p>
      <w:pPr>
        <w:spacing w:before="120" w:after="120" w:line="288" w:lineRule="auto"/>
        <w:ind w:left="0" w:firstLine="0"/>
        <w:jc w:val="left"/>
      </w:pPr>
      <w:r>
        <w:rPr>
          <w:rFonts w:eastAsia="等线" w:ascii="Arial" w:cs="Arial" w:hAnsi="Arial"/>
          <w:color w:val="1f2329"/>
          <w:sz w:val="22"/>
        </w:rPr>
        <w:t xml:space="preserve">   除本协议另有约定外，基于本条第1款所称乙方服务不可用情形造成服务中断的，该中断时间内甲乙双方的服务期限同时中断，待恢复服务后自动顺延，同时乙方同意按照服务不可用时间【100】倍的时长标准免费延长甲方的服务期限，作为对于甲方的补偿。最低补偿时间为 1 天，不足 1 天按照 1 天算。本条约定的免费延长服务期限仅限本协议约定的服务标准前提下的服务期限的补偿，不用于折算现金及代金券。</w:t>
      </w:r>
    </w:p>
    <w:p>
      <w:pPr>
        <w:pStyle w:val="6"/>
        <w:spacing w:before="240" w:after="120" w:line="288" w:lineRule="auto"/>
        <w:ind w:left="0"/>
        <w:jc w:val="left"/>
        <w:outlineLvl w:val="5"/>
      </w:pPr>
      <w:bookmarkStart w:name="heading_17" w:id="17"/>
      <w:r>
        <w:rPr>
          <w:rFonts w:eastAsia="等线" w:ascii="Arial" w:cs="Arial" w:hAnsi="Arial"/>
          <w:color w:val="3370ff"/>
          <w:sz w:val="24"/>
        </w:rPr>
        <w:t xml:space="preserve">9.3 </w:t>
      </w:r>
      <w:r>
        <w:rPr>
          <w:rFonts w:eastAsia="等线" w:ascii="Arial" w:cs="Arial" w:hAnsi="Arial"/>
          <w:b w:val="true"/>
          <w:color w:val="1f2329"/>
          <w:sz w:val="24"/>
        </w:rPr>
        <w:t xml:space="preserve"> 服务不可用、中断免责</w:t>
      </w:r>
      <w:bookmarkEnd w:id="17"/>
    </w:p>
    <w:p>
      <w:pPr>
        <w:spacing w:before="120" w:after="120" w:line="288" w:lineRule="auto"/>
        <w:ind w:left="0" w:firstLine="0"/>
        <w:jc w:val="left"/>
      </w:pPr>
      <w:r>
        <w:rPr>
          <w:rFonts w:eastAsia="等线" w:ascii="Arial" w:cs="Arial" w:hAnsi="Arial"/>
          <w:color w:val="1f2329"/>
          <w:sz w:val="22"/>
        </w:rPr>
        <w:t xml:space="preserve">   双方确认，基于互联网服务的特殊性，因下列状况导致乙方服务暂停、中断、服务不可用或数据丢失等情况的，乙方无需承担违约或赔偿责任。</w:t>
      </w:r>
    </w:p>
    <w:p>
      <w:pPr>
        <w:numPr>
          <w:numId w:val="51"/>
        </w:numPr>
        <w:spacing w:before="120" w:after="120" w:line="288" w:lineRule="auto"/>
        <w:ind w:left="0"/>
        <w:jc w:val="left"/>
      </w:pPr>
      <w:r>
        <w:rPr>
          <w:rFonts w:eastAsia="等线" w:ascii="Arial" w:cs="Arial" w:hAnsi="Arial"/>
          <w:color w:val="1f2329"/>
          <w:sz w:val="22"/>
        </w:rPr>
        <w:t>因银行方面、第三方支付渠道的问题等原因而造成的服务中断或者延迟；</w:t>
      </w:r>
    </w:p>
    <w:p>
      <w:pPr>
        <w:numPr>
          <w:numId w:val="52"/>
        </w:numPr>
        <w:spacing w:before="120" w:after="120" w:line="288" w:lineRule="auto"/>
        <w:ind w:left="0"/>
        <w:jc w:val="left"/>
      </w:pPr>
      <w:r>
        <w:rPr>
          <w:rFonts w:eastAsia="等线" w:ascii="Arial" w:cs="Arial" w:hAnsi="Arial"/>
          <w:color w:val="1f2329"/>
          <w:sz w:val="22"/>
        </w:rPr>
        <w:t xml:space="preserve">因自然灾害如洪水、台风、火灾、爆炸、雷电、地震和风暴等以及社会事件如停电、战争、动乱、恐怖袭击、政府行为、国家政策的突然变动和罢工等不可抗力之因素，造成乙方服务系统障碍不能提供服务的； </w:t>
      </w:r>
    </w:p>
    <w:p>
      <w:pPr>
        <w:numPr>
          <w:numId w:val="53"/>
        </w:numPr>
        <w:spacing w:before="120" w:after="120" w:line="288" w:lineRule="auto"/>
        <w:ind w:left="0"/>
        <w:jc w:val="left"/>
      </w:pPr>
      <w:r>
        <w:rPr>
          <w:rFonts w:eastAsia="等线" w:ascii="Arial" w:cs="Arial" w:hAnsi="Arial"/>
          <w:color w:val="1f2329"/>
          <w:sz w:val="22"/>
        </w:rPr>
        <w:t xml:space="preserve">因黑客攻击，病毒侵袭等原因而造成的服务中断或者延迟； </w:t>
      </w:r>
    </w:p>
    <w:p>
      <w:pPr>
        <w:numPr>
          <w:numId w:val="54"/>
        </w:numPr>
        <w:spacing w:before="120" w:after="120" w:line="288" w:lineRule="auto"/>
        <w:ind w:left="0"/>
        <w:jc w:val="left"/>
      </w:pPr>
      <w:r>
        <w:rPr>
          <w:rFonts w:eastAsia="等线" w:ascii="Arial" w:cs="Arial" w:hAnsi="Arial"/>
          <w:color w:val="1f2329"/>
          <w:sz w:val="22"/>
        </w:rPr>
        <w:t>网络、电信设备出现故障不能进行数据传输的；</w:t>
      </w:r>
    </w:p>
    <w:p>
      <w:pPr>
        <w:numPr>
          <w:numId w:val="55"/>
        </w:numPr>
        <w:spacing w:before="120" w:after="120" w:line="288" w:lineRule="auto"/>
        <w:ind w:left="0"/>
        <w:jc w:val="left"/>
      </w:pPr>
      <w:r>
        <w:rPr>
          <w:rFonts w:eastAsia="等线" w:ascii="Arial" w:cs="Arial" w:hAnsi="Arial"/>
          <w:color w:val="1f2329"/>
          <w:sz w:val="22"/>
        </w:rPr>
        <w:t>云服务系统、计算机系统遭到破坏、瘫痪或无法正常使用而导致信息或纪录的丢失；</w:t>
      </w:r>
    </w:p>
    <w:p>
      <w:pPr>
        <w:numPr>
          <w:numId w:val="56"/>
        </w:numPr>
        <w:spacing w:before="120" w:after="120" w:line="288" w:lineRule="auto"/>
        <w:ind w:left="0"/>
        <w:jc w:val="left"/>
      </w:pPr>
      <w:r>
        <w:rPr>
          <w:rFonts w:eastAsia="等线" w:ascii="Arial" w:cs="Arial" w:hAnsi="Arial"/>
          <w:color w:val="1f2329"/>
          <w:sz w:val="22"/>
        </w:rPr>
        <w:t xml:space="preserve">电信技术部门调整或故障、网站升级等原因而造成的服务中断或者延迟； </w:t>
      </w:r>
    </w:p>
    <w:p>
      <w:pPr>
        <w:numPr>
          <w:numId w:val="57"/>
        </w:numPr>
        <w:spacing w:before="120" w:after="120" w:line="288" w:lineRule="auto"/>
        <w:ind w:left="0"/>
        <w:jc w:val="left"/>
      </w:pPr>
      <w:r>
        <w:rPr>
          <w:rFonts w:eastAsia="等线" w:ascii="Arial" w:cs="Arial" w:hAnsi="Arial"/>
          <w:color w:val="1f2329"/>
          <w:sz w:val="22"/>
        </w:rPr>
        <w:t>因政府管制而造成的暂时关闭；</w:t>
      </w:r>
    </w:p>
    <w:p>
      <w:pPr>
        <w:numPr>
          <w:numId w:val="58"/>
        </w:numPr>
        <w:spacing w:before="120" w:after="120" w:line="288" w:lineRule="auto"/>
        <w:ind w:left="0"/>
        <w:jc w:val="left"/>
      </w:pPr>
      <w:r>
        <w:rPr>
          <w:rFonts w:eastAsia="等线" w:ascii="Arial" w:cs="Arial" w:hAnsi="Arial"/>
          <w:color w:val="1f2329"/>
          <w:sz w:val="22"/>
        </w:rPr>
        <w:t xml:space="preserve">其他基于互联网特殊性不在乙方控制内的原因。 </w:t>
      </w:r>
    </w:p>
    <w:p>
      <w:pPr>
        <w:spacing w:before="120" w:after="120" w:line="288" w:lineRule="auto"/>
        <w:ind w:left="0" w:firstLine="0"/>
        <w:jc w:val="left"/>
      </w:pPr>
      <w:r>
        <w:rPr>
          <w:rFonts w:eastAsia="等线" w:ascii="Arial" w:cs="Arial" w:hAnsi="Arial"/>
          <w:color w:val="1f2329"/>
          <w:sz w:val="22"/>
        </w:rPr>
        <w:t>4、</w:t>
      </w:r>
      <w:r>
        <w:rPr>
          <w:rFonts w:eastAsia="等线" w:ascii="Arial" w:cs="Arial" w:hAnsi="Arial"/>
          <w:b w:val="true"/>
          <w:color w:val="1f2329"/>
          <w:sz w:val="22"/>
        </w:rPr>
        <w:t>上述事项发生后，乙方必须立刻通知甲方，且尽力减少及克服不可抗力的影响。</w:t>
      </w:r>
    </w:p>
    <w:p>
      <w:pPr>
        <w:spacing w:before="120" w:after="120" w:line="288" w:lineRule="auto"/>
        <w:ind w:left="0" w:firstLine="0"/>
        <w:jc w:val="left"/>
      </w:pPr>
      <w:r>
        <w:rPr>
          <w:rFonts w:eastAsia="等线" w:ascii="Arial" w:cs="Arial" w:hAnsi="Arial"/>
          <w:color w:val="1f2329"/>
          <w:sz w:val="22"/>
        </w:rPr>
        <w:t>5、 基于乙方需要定期或不定期地对服务系统及其相关的设备进行检修或者维护，如因此类情况可能造成网络服务在合理时间内的中断的，乙方应提前3个工作日通知甲方。 </w:t>
      </w:r>
    </w:p>
    <w:p>
      <w:pPr>
        <w:pStyle w:val="2"/>
        <w:spacing w:before="320" w:after="120" w:line="288" w:lineRule="auto"/>
        <w:ind w:left="0"/>
        <w:jc w:val="left"/>
        <w:outlineLvl w:val="1"/>
      </w:pPr>
      <w:bookmarkStart w:name="heading_18" w:id="18"/>
      <w:r>
        <w:rPr>
          <w:rFonts w:eastAsia="等线" w:ascii="Arial" w:cs="Arial" w:hAnsi="Arial"/>
          <w:color w:val="3370ff"/>
          <w:sz w:val="32"/>
        </w:rPr>
        <w:t xml:space="preserve">10. </w:t>
      </w:r>
      <w:r>
        <w:rPr>
          <w:rFonts w:eastAsia="等线" w:ascii="Arial" w:cs="Arial" w:hAnsi="Arial"/>
          <w:b w:val="true"/>
          <w:color w:val="1f2329"/>
          <w:sz w:val="32"/>
        </w:rPr>
        <w:t>协议的终止及续期</w:t>
      </w:r>
      <w:bookmarkEnd w:id="18"/>
    </w:p>
    <w:p>
      <w:pPr>
        <w:numPr>
          <w:numId w:val="59"/>
        </w:numPr>
        <w:spacing w:before="120" w:after="120" w:line="288" w:lineRule="auto"/>
        <w:ind w:left="0"/>
        <w:jc w:val="left"/>
      </w:pPr>
      <w:r>
        <w:rPr>
          <w:rFonts w:eastAsia="等线" w:ascii="Arial" w:cs="Arial" w:hAnsi="Arial"/>
          <w:color w:val="1f2329"/>
          <w:sz w:val="22"/>
        </w:rPr>
        <w:t>本协议有效期为甲方购买乙方服务的期限，服务期满之日起，乙方有权终止支付系统平台服务。</w:t>
      </w:r>
    </w:p>
    <w:p>
      <w:pPr>
        <w:numPr>
          <w:numId w:val="60"/>
        </w:numPr>
        <w:spacing w:before="120" w:after="120" w:line="288" w:lineRule="auto"/>
        <w:ind w:left="0"/>
        <w:jc w:val="left"/>
      </w:pPr>
      <w:r>
        <w:rPr>
          <w:rFonts w:eastAsia="等线" w:ascii="Arial" w:cs="Arial" w:hAnsi="Arial"/>
          <w:color w:val="1f2329"/>
          <w:sz w:val="22"/>
        </w:rPr>
        <w:t>若甲方在购买服务期限届满后仍需使用乙方服务的，应不晚于期满前30日向乙方提出续期申请，并在期满前【30】日内付清全部续期费用。如续期时乙方服务内容、价格进行调整的，双方同意按照届时有效的新的服务内容及价格履行。</w:t>
      </w:r>
    </w:p>
    <w:p>
      <w:pPr>
        <w:numPr>
          <w:numId w:val="61"/>
        </w:numPr>
        <w:spacing w:before="120" w:after="120" w:line="288" w:lineRule="auto"/>
        <w:ind w:left="0"/>
        <w:jc w:val="left"/>
      </w:pPr>
      <w:r>
        <w:rPr>
          <w:rFonts w:eastAsia="等线" w:ascii="Arial" w:cs="Arial" w:hAnsi="Arial"/>
          <w:color w:val="1f2329"/>
          <w:sz w:val="22"/>
        </w:rPr>
        <w:t>一旦出现下列情况中的任何一项或多项，任何一方有权在任何时候将书面通知送达协议其他方后单方面终止本协议，双方无需承担任何违约责任，乙方根据实际服务情况，退还甲方已支付的未消费服务费用：</w:t>
      </w:r>
    </w:p>
    <w:p>
      <w:pPr>
        <w:numPr>
          <w:numId w:val="62"/>
        </w:numPr>
        <w:spacing w:before="120" w:after="120" w:line="288" w:lineRule="auto"/>
        <w:ind w:left="0"/>
        <w:jc w:val="left"/>
      </w:pPr>
      <w:r>
        <w:rPr>
          <w:rFonts w:eastAsia="等线" w:ascii="Arial" w:cs="Arial" w:hAnsi="Arial"/>
          <w:color w:val="1f2329"/>
          <w:sz w:val="22"/>
        </w:rPr>
        <w:t>若一方因启动破产程序等财务问题无法履行本协议规定的义务；</w:t>
      </w:r>
    </w:p>
    <w:p>
      <w:pPr>
        <w:spacing w:before="120" w:after="120" w:line="288" w:lineRule="auto"/>
        <w:ind w:left="0" w:firstLine="0"/>
        <w:jc w:val="left"/>
      </w:pPr>
      <w:r>
        <w:rPr>
          <w:rFonts w:eastAsia="等线" w:ascii="Arial" w:cs="Arial" w:hAnsi="Arial"/>
          <w:color w:val="1f2329"/>
          <w:sz w:val="22"/>
        </w:rPr>
        <w:t>（2）因双方所在地法律法规、监管要求有强制性规定；</w:t>
      </w:r>
    </w:p>
    <w:p>
      <w:pPr>
        <w:spacing w:before="120" w:after="120" w:line="288" w:lineRule="auto"/>
        <w:ind w:left="0" w:firstLine="0"/>
        <w:jc w:val="left"/>
      </w:pPr>
      <w:r>
        <w:rPr>
          <w:rFonts w:eastAsia="等线" w:ascii="Arial" w:cs="Arial" w:hAnsi="Arial"/>
          <w:color w:val="1f2329"/>
          <w:sz w:val="22"/>
        </w:rPr>
        <w:t>（3）因第三方支付渠道业务监管要求有强制性规定导致第三方支付渠道无法使用；</w:t>
      </w:r>
    </w:p>
    <w:p>
      <w:pPr>
        <w:numPr>
          <w:numId w:val="63"/>
        </w:numPr>
        <w:spacing w:before="120" w:after="120" w:line="288" w:lineRule="auto"/>
        <w:ind w:left="0"/>
        <w:jc w:val="left"/>
      </w:pPr>
      <w:r>
        <w:rPr>
          <w:rFonts w:eastAsia="等线" w:ascii="Arial" w:cs="Arial" w:hAnsi="Arial"/>
          <w:color w:val="1f2329"/>
          <w:sz w:val="22"/>
        </w:rPr>
        <w:t>有下列情形的，守约一方有权单方解除本协议，并要求违约方按照合同总服务费用30% 的标准支付违约金，甲方违约的，乙方同时不予退还甲方已支付的费用：</w:t>
      </w:r>
    </w:p>
    <w:p>
      <w:pPr>
        <w:numPr>
          <w:numId w:val="64"/>
        </w:numPr>
        <w:spacing w:before="120" w:after="120" w:line="288" w:lineRule="auto"/>
        <w:ind w:left="0"/>
        <w:jc w:val="left"/>
      </w:pPr>
      <w:r>
        <w:rPr>
          <w:rFonts w:eastAsia="等线" w:ascii="Arial" w:cs="Arial" w:hAnsi="Arial"/>
          <w:color w:val="1f2329"/>
          <w:sz w:val="22"/>
        </w:rPr>
        <w:t>甲方在乙方服务平台上存在欺诈、销售假冒或伪劣商品或服务、侵犯他人合法权益或其他严重违反相关法律规定的；</w:t>
      </w:r>
    </w:p>
    <w:p>
      <w:pPr>
        <w:numPr>
          <w:numId w:val="65"/>
        </w:numPr>
        <w:spacing w:before="120" w:after="120" w:line="288" w:lineRule="auto"/>
        <w:ind w:left="0"/>
        <w:jc w:val="left"/>
      </w:pPr>
      <w:r>
        <w:rPr>
          <w:rFonts w:eastAsia="等线" w:ascii="Arial" w:cs="Arial" w:hAnsi="Arial"/>
          <w:color w:val="1f2329"/>
          <w:sz w:val="22"/>
        </w:rPr>
        <w:t>甲方违反与第三方支付渠道的约定的，包括欠付第三方支付渠道费用、存在违反第三方支付渠道关于行业限制、禁止行为、禁售商品或服务等规定行为等情形；</w:t>
      </w:r>
    </w:p>
    <w:p>
      <w:pPr>
        <w:numPr>
          <w:numId w:val="66"/>
        </w:numPr>
        <w:spacing w:before="120" w:after="120" w:line="288" w:lineRule="auto"/>
        <w:ind w:left="0"/>
        <w:jc w:val="left"/>
      </w:pPr>
      <w:r>
        <w:rPr>
          <w:rFonts w:eastAsia="等线" w:ascii="Arial" w:cs="Arial" w:hAnsi="Arial"/>
          <w:color w:val="1f2329"/>
          <w:sz w:val="22"/>
        </w:rPr>
        <w:t>甲方逾期支付乙方服务费用累计超过7日的;</w:t>
      </w:r>
    </w:p>
    <w:p>
      <w:pPr>
        <w:numPr>
          <w:numId w:val="67"/>
        </w:numPr>
        <w:spacing w:before="120" w:after="120" w:line="288" w:lineRule="auto"/>
        <w:ind w:left="0"/>
        <w:jc w:val="left"/>
      </w:pPr>
      <w:r>
        <w:rPr>
          <w:rFonts w:eastAsia="等线" w:ascii="Arial" w:cs="Arial" w:hAnsi="Arial"/>
          <w:color w:val="1f2329"/>
          <w:sz w:val="22"/>
        </w:rPr>
        <w:t>任何一方侵犯另一方的品牌、声誉和商标权利；</w:t>
      </w:r>
    </w:p>
    <w:p>
      <w:pPr>
        <w:numPr>
          <w:numId w:val="68"/>
        </w:numPr>
        <w:spacing w:before="120" w:after="120" w:line="288" w:lineRule="auto"/>
        <w:ind w:left="0"/>
        <w:jc w:val="left"/>
      </w:pPr>
      <w:r>
        <w:rPr>
          <w:rFonts w:eastAsia="等线" w:ascii="Arial" w:cs="Arial" w:hAnsi="Arial"/>
          <w:color w:val="1f2329"/>
          <w:sz w:val="22"/>
        </w:rPr>
        <w:t>除本协议约定外，任何一方单方擅自解除本协议的，守约方有权要求违约方按照合同总服务费用30% 的标准支付违约金，甲方违约的，乙方同时不予退还甲方已支付的费用。</w:t>
      </w:r>
    </w:p>
    <w:p>
      <w:pPr>
        <w:numPr>
          <w:numId w:val="69"/>
        </w:numPr>
        <w:spacing w:before="120" w:after="120" w:line="288" w:lineRule="auto"/>
        <w:ind w:left="0"/>
        <w:jc w:val="left"/>
      </w:pPr>
      <w:r>
        <w:rPr>
          <w:rFonts w:eastAsia="等线" w:ascii="Arial" w:cs="Arial" w:hAnsi="Arial"/>
          <w:color w:val="1f2329"/>
          <w:sz w:val="22"/>
        </w:rPr>
        <w:t>本协议的终止并不影响依据本协议保密条款、争议解决条款的继续有效，也不影响在本协议的终止当日未决的权利义务。</w:t>
      </w:r>
    </w:p>
    <w:p>
      <w:pPr>
        <w:numPr>
          <w:numId w:val="70"/>
        </w:numPr>
        <w:spacing w:before="120" w:after="120" w:line="288" w:lineRule="auto"/>
        <w:ind w:left="0"/>
        <w:jc w:val="left"/>
      </w:pPr>
      <w:r>
        <w:rPr>
          <w:rFonts w:eastAsia="等线" w:ascii="Arial" w:cs="Arial" w:hAnsi="Arial"/>
          <w:color w:val="1f2329"/>
          <w:sz w:val="22"/>
        </w:rPr>
        <w:t>本协议终止或解除后，乙方有权注销甲方全部或部分账户，乙方提供的所有服务将同时终止，并有权从服务器上永久地删除甲方数据。就协议期满后或甲方未及时续期导致的乙方服务终止后果，由甲方自行承担。甲方如需从乙方服务器中转存数据，应在协议终止或解除前3日内书面向乙方提出申请，乙方可协助进行数据转存，所需相关服务费用由甲乙双方另行协商确定。</w:t>
      </w:r>
    </w:p>
    <w:p>
      <w:pPr>
        <w:pStyle w:val="2"/>
        <w:spacing w:before="320" w:after="120" w:line="288" w:lineRule="auto"/>
        <w:ind w:left="0"/>
        <w:jc w:val="left"/>
        <w:outlineLvl w:val="1"/>
      </w:pPr>
      <w:bookmarkStart w:name="heading_19" w:id="19"/>
      <w:r>
        <w:rPr>
          <w:rFonts w:eastAsia="等线" w:ascii="Arial" w:cs="Arial" w:hAnsi="Arial"/>
          <w:color w:val="3370ff"/>
          <w:sz w:val="32"/>
        </w:rPr>
        <w:t xml:space="preserve">11. </w:t>
      </w:r>
      <w:r>
        <w:rPr>
          <w:rFonts w:eastAsia="等线" w:ascii="Arial" w:cs="Arial" w:hAnsi="Arial"/>
          <w:b w:val="true"/>
          <w:color w:val="1f2329"/>
          <w:sz w:val="32"/>
        </w:rPr>
        <w:t>通知</w:t>
      </w:r>
      <w:bookmarkEnd w:id="19"/>
    </w:p>
    <w:p>
      <w:pPr>
        <w:spacing w:before="120" w:after="120" w:line="288" w:lineRule="auto"/>
        <w:ind w:left="0" w:firstLine="0"/>
        <w:jc w:val="left"/>
      </w:pPr>
      <w:r>
        <w:rPr>
          <w:rFonts w:eastAsia="等线" w:ascii="Arial" w:cs="Arial" w:hAnsi="Arial"/>
          <w:color w:val="1f2329"/>
          <w:sz w:val="22"/>
        </w:rPr>
        <w:t>除非协议双方另有书面约定，所有通知如果是由另一方按本协议列出的地址或最后知道的经营地址或公司登记的地址通过递送向另一方发送；通知在专人递送的情况下应在交付当日视为已经送达。若通知采用电子邮件形式发送的，则自电子邮件发出之日即视为已送达。一方变更名称、地址、联系人或通信终端的，应当于变更之日起3日内书面形式通知另一方，未经通知的，未通知方承担由此而引起的相关责任。</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甲方</w:t>
      </w:r>
    </w:p>
    <w:p>
      <w:pPr>
        <w:spacing w:before="120" w:after="120" w:line="288" w:lineRule="auto"/>
        <w:ind w:left="0" w:firstLine="0"/>
        <w:jc w:val="left"/>
      </w:pPr>
      <w:r>
        <w:rPr>
          <w:rFonts w:eastAsia="等线" w:ascii="Arial" w:cs="Arial" w:hAnsi="Arial"/>
          <w:color w:val="1f2329"/>
          <w:sz w:val="22"/>
        </w:rPr>
        <w:t xml:space="preserve">地    址： </w:t>
      </w:r>
      <w:r>
        <w:rPr>
          <w:rFonts w:eastAsia="等线" w:ascii="Arial" w:cs="Arial" w:hAnsi="Arial"/>
          <w:sz w:val="22"/>
        </w:rPr>
        <w:br/>
      </w:r>
      <w:r>
        <w:rPr>
          <w:rFonts w:eastAsia="等线" w:ascii="Arial" w:cs="Arial" w:hAnsi="Arial"/>
          <w:color w:val="1f2329"/>
          <w:sz w:val="22"/>
        </w:rPr>
        <w:t>收 件 人：</w:t>
      </w:r>
    </w:p>
    <w:p>
      <w:pPr>
        <w:spacing w:before="120" w:after="120" w:line="288" w:lineRule="auto"/>
        <w:ind w:left="0" w:firstLine="0"/>
        <w:jc w:val="left"/>
      </w:pPr>
      <w:r>
        <w:rPr>
          <w:rFonts w:eastAsia="等线" w:ascii="Arial" w:cs="Arial" w:hAnsi="Arial"/>
          <w:color w:val="1f2329"/>
          <w:sz w:val="22"/>
        </w:rPr>
        <w:t>联系电话：</w:t>
      </w:r>
    </w:p>
    <w:p>
      <w:pPr>
        <w:spacing w:before="120" w:after="120" w:line="288" w:lineRule="auto"/>
        <w:ind w:left="0" w:firstLine="0"/>
        <w:jc w:val="left"/>
      </w:pPr>
      <w:r>
        <w:rPr>
          <w:rFonts w:eastAsia="等线" w:ascii="Arial" w:cs="Arial" w:hAnsi="Arial"/>
          <w:color w:val="1f2329"/>
          <w:sz w:val="22"/>
        </w:rPr>
        <w:t xml:space="preserve">联系邮箱： </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乙方</w:t>
      </w:r>
    </w:p>
    <w:p>
      <w:pPr>
        <w:spacing w:before="120" w:after="120" w:line="288" w:lineRule="auto"/>
        <w:ind w:left="0" w:firstLine="0"/>
        <w:jc w:val="left"/>
      </w:pPr>
      <w:r>
        <w:rPr>
          <w:rFonts w:eastAsia="等线" w:ascii="Arial" w:cs="Arial" w:hAnsi="Arial"/>
          <w:color w:val="1f2329"/>
          <w:sz w:val="22"/>
        </w:rPr>
        <w:t>地    址：上海市浦东新区张江碧波路690号6幢101-19室</w:t>
      </w:r>
      <w:r>
        <w:rPr>
          <w:rFonts w:eastAsia="等线" w:ascii="Arial" w:cs="Arial" w:hAnsi="Arial"/>
          <w:sz w:val="22"/>
        </w:rPr>
        <w:br/>
      </w:r>
      <w:r>
        <w:rPr>
          <w:rFonts w:eastAsia="等线" w:ascii="Arial" w:cs="Arial" w:hAnsi="Arial"/>
          <w:color w:val="1f2329"/>
          <w:sz w:val="22"/>
        </w:rPr>
        <w:t>收 件 人：朱继延</w:t>
      </w:r>
      <w:r>
        <w:rPr>
          <w:rFonts w:eastAsia="等线" w:ascii="Arial" w:cs="Arial" w:hAnsi="Arial"/>
          <w:sz w:val="22"/>
        </w:rPr>
        <w:br/>
      </w:r>
      <w:r>
        <w:rPr>
          <w:rFonts w:eastAsia="等线" w:ascii="Arial" w:cs="Arial" w:hAnsi="Arial"/>
          <w:color w:val="1f2329"/>
          <w:sz w:val="22"/>
        </w:rPr>
        <w:t>联系电话：021-50477566</w:t>
      </w:r>
    </w:p>
    <w:p>
      <w:pPr>
        <w:spacing w:before="120" w:after="120" w:line="288" w:lineRule="auto"/>
        <w:ind w:left="0" w:firstLine="0"/>
        <w:jc w:val="left"/>
      </w:pPr>
      <w:r>
        <w:rPr>
          <w:rFonts w:eastAsia="等线" w:ascii="Arial" w:cs="Arial" w:hAnsi="Arial"/>
          <w:color w:val="1f2329"/>
          <w:sz w:val="22"/>
        </w:rPr>
        <w:t>联系邮箱：contract@pingxx.com</w:t>
      </w:r>
    </w:p>
    <w:p>
      <w:pPr>
        <w:pStyle w:val="2"/>
        <w:spacing w:before="320" w:after="120" w:line="288" w:lineRule="auto"/>
        <w:ind w:left="0"/>
        <w:jc w:val="left"/>
        <w:outlineLvl w:val="1"/>
      </w:pPr>
      <w:bookmarkStart w:name="heading_20" w:id="20"/>
      <w:r>
        <w:rPr>
          <w:rFonts w:eastAsia="等线" w:ascii="Arial" w:cs="Arial" w:hAnsi="Arial"/>
          <w:color w:val="3370ff"/>
          <w:sz w:val="32"/>
        </w:rPr>
        <w:t xml:space="preserve">12. </w:t>
      </w:r>
      <w:r>
        <w:rPr>
          <w:rFonts w:eastAsia="等线" w:ascii="Arial" w:cs="Arial" w:hAnsi="Arial"/>
          <w:b w:val="true"/>
          <w:color w:val="1f2329"/>
          <w:sz w:val="32"/>
        </w:rPr>
        <w:t>附则</w:t>
      </w:r>
      <w:bookmarkEnd w:id="20"/>
    </w:p>
    <w:p>
      <w:pPr>
        <w:numPr>
          <w:numId w:val="71"/>
        </w:numPr>
        <w:spacing w:before="120" w:after="120" w:line="288" w:lineRule="auto"/>
        <w:ind w:left="0"/>
        <w:jc w:val="left"/>
      </w:pPr>
      <w:r>
        <w:rPr>
          <w:rFonts w:eastAsia="等线" w:ascii="Arial" w:cs="Arial" w:hAnsi="Arial"/>
          <w:color w:val="1f2329"/>
          <w:sz w:val="22"/>
        </w:rPr>
        <w:t>本协议一式贰份，由甲方和乙方各执壹份，具有同等法律效力，并由双方法定代表人或授权代表人签署并加盖公章或合同专用章，于签署之日起生效。</w:t>
      </w:r>
    </w:p>
    <w:p>
      <w:pPr>
        <w:numPr>
          <w:numId w:val="72"/>
        </w:numPr>
        <w:spacing w:before="120" w:after="120" w:line="288" w:lineRule="auto"/>
        <w:ind w:left="0"/>
        <w:jc w:val="left"/>
      </w:pPr>
      <w:r>
        <w:rPr>
          <w:rFonts w:eastAsia="等线" w:ascii="Arial" w:cs="Arial" w:hAnsi="Arial"/>
          <w:b w:val="true"/>
          <w:color w:val="1f2329"/>
          <w:sz w:val="22"/>
        </w:rPr>
        <w:t>乙方服务网站【网址：</w:t>
      </w:r>
      <w:hyperlink r:id="rId5">
        <w:r>
          <w:rPr>
            <w:rFonts w:eastAsia="等线" w:ascii="Arial" w:cs="Arial" w:hAnsi="Arial"/>
            <w:color w:val="3370ff"/>
            <w:sz w:val="22"/>
          </w:rPr>
          <w:t>www.pingxx.com</w:t>
        </w:r>
      </w:hyperlink>
      <w:r>
        <w:rPr>
          <w:rFonts w:eastAsia="等线" w:ascii="Arial" w:cs="Arial" w:hAnsi="Arial"/>
          <w:b w:val="true"/>
          <w:color w:val="1f2329"/>
          <w:sz w:val="22"/>
        </w:rPr>
        <w:t xml:space="preserve"> 】中的《网站服务协议》、《Ping++隐私权政策》等相关协议为本协议的附件，与本协议具有同等效力。本协议中未涉及内容，以《网站服务协议》等网站协议为准。</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b w:val="true"/>
          <w:color w:val="1f2329"/>
          <w:sz w:val="22"/>
        </w:rPr>
        <w:t>（签字页，以下无正文）</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b w:val="true"/>
          <w:color w:val="1f2329"/>
          <w:sz w:val="22"/>
        </w:rPr>
        <w:t>甲方:                          乙方:上海简米网络科技有限公司</w:t>
      </w:r>
    </w:p>
    <w:p>
      <w:pPr>
        <w:spacing w:before="120" w:after="120" w:line="288" w:lineRule="auto"/>
        <w:ind w:left="0" w:firstLine="0"/>
        <w:jc w:val="left"/>
      </w:pPr>
      <w:r>
        <w:rPr>
          <w:rFonts w:eastAsia="等线" w:ascii="Arial" w:cs="Arial" w:hAnsi="Arial"/>
          <w:b w:val="true"/>
          <w:color w:val="1f2329"/>
          <w:sz w:val="22"/>
        </w:rPr>
        <w:t xml:space="preserve">  </w:t>
      </w:r>
    </w:p>
    <w:p>
      <w:pPr>
        <w:spacing w:before="120" w:after="120" w:line="288" w:lineRule="auto"/>
        <w:ind w:left="0" w:firstLine="0"/>
        <w:jc w:val="left"/>
      </w:pPr>
      <w:r>
        <w:rPr>
          <w:rFonts w:eastAsia="等线" w:ascii="Arial" w:cs="Arial" w:hAnsi="Arial"/>
          <w:b w:val="true"/>
          <w:color w:val="1f2329"/>
          <w:sz w:val="22"/>
        </w:rPr>
        <w:t xml:space="preserve">        年   月   日                 年   月   日  </w:t>
      </w:r>
    </w:p>
    <w:p>
      <w:pPr>
        <w:spacing w:before="120" w:after="120" w:line="288" w:lineRule="auto"/>
        <w:ind w:left="0" w:firstLine="0"/>
        <w:jc w:val="left"/>
      </w:pPr>
      <w:r>
        <w:rPr>
          <w:rFonts w:eastAsia="等线" w:ascii="Arial" w:cs="Arial" w:hAnsi="Arial"/>
          <w:b w:val="true"/>
          <w:color w:val="1f2329"/>
          <w:sz w:val="22"/>
        </w:rPr>
        <w:t xml:space="preserve">     </w:t>
      </w:r>
    </w:p>
    <w:p>
      <w:pPr>
        <w:spacing w:before="120" w:after="120" w:line="288" w:lineRule="auto"/>
        <w:ind w:left="0" w:firstLine="0"/>
        <w:jc w:val="left"/>
      </w:pPr>
      <w:r>
        <w:rPr>
          <w:rFonts w:eastAsia="等线" w:ascii="Arial" w:cs="Arial" w:hAnsi="Arial"/>
          <w:b w:val="true"/>
          <w:color w:val="1f2329"/>
          <w:sz w:val="22"/>
        </w:rPr>
        <w:t>签字及盖章：                  签字及盖章：</w:t>
      </w: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b w:val="true"/>
          <w:color w:val="1f2329"/>
          <w:sz w:val="22"/>
        </w:rPr>
        <w:t>附件：服务内容及收费标准</w:t>
      </w:r>
    </w:p>
    <w:p>
      <w:pPr>
        <w:spacing w:before="120" w:after="120" w:line="288" w:lineRule="auto"/>
        <w:ind w:left="0" w:firstLine="0"/>
        <w:jc w:val="left"/>
      </w:pPr>
    </w:p>
    <w:sectPr>
      <w:footerReference w:type="default" r:id="rId3"/>
      <w:headerReference w:type="default" r:id="rId6"/>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105153">
    <w:lvl>
      <w:start w:val="5"/>
      <w:numFmt w:val="lowerLetter"/>
      <w:suff w:val="tab"/>
      <w:lvlText w:val="%1."/>
      <w:rPr>
        <w:color w:val="3370ff"/>
      </w:rPr>
    </w:lvl>
  </w:abstractNum>
  <w:abstractNum w:abstractNumId="105154">
    <w:lvl>
      <w:start w:val="1"/>
      <w:numFmt w:val="decimal"/>
      <w:suff w:val="tab"/>
      <w:lvlText w:val="%1."/>
      <w:rPr>
        <w:color w:val="3370ff"/>
      </w:rPr>
    </w:lvl>
  </w:abstractNum>
  <w:abstractNum w:abstractNumId="105155">
    <w:lvl>
      <w:start w:val="2"/>
      <w:numFmt w:val="decimal"/>
      <w:suff w:val="tab"/>
      <w:lvlText w:val="%1."/>
      <w:rPr>
        <w:color w:val="3370ff"/>
      </w:rPr>
    </w:lvl>
  </w:abstractNum>
  <w:abstractNum w:abstractNumId="105156">
    <w:lvl>
      <w:start w:val="3"/>
      <w:numFmt w:val="decimal"/>
      <w:suff w:val="tab"/>
      <w:lvlText w:val="%1."/>
      <w:rPr>
        <w:color w:val="3370ff"/>
      </w:rPr>
    </w:lvl>
  </w:abstractNum>
  <w:abstractNum w:abstractNumId="105157">
    <w:lvl>
      <w:start w:val="4"/>
      <w:numFmt w:val="decimal"/>
      <w:suff w:val="tab"/>
      <w:lvlText w:val="%1."/>
      <w:rPr>
        <w:color w:val="3370ff"/>
      </w:rPr>
    </w:lvl>
  </w:abstractNum>
  <w:abstractNum w:abstractNumId="105158">
    <w:lvl>
      <w:start w:val="5"/>
      <w:numFmt w:val="decimal"/>
      <w:suff w:val="tab"/>
      <w:lvlText w:val="%1."/>
      <w:rPr>
        <w:color w:val="3370ff"/>
      </w:rPr>
    </w:lvl>
  </w:abstractNum>
  <w:abstractNum w:abstractNumId="105159">
    <w:lvl>
      <w:start w:val="6"/>
      <w:numFmt w:val="decimal"/>
      <w:suff w:val="tab"/>
      <w:lvlText w:val="%1."/>
      <w:rPr>
        <w:color w:val="3370ff"/>
      </w:rPr>
    </w:lvl>
  </w:abstractNum>
  <w:abstractNum w:abstractNumId="105160">
    <w:lvl>
      <w:start w:val="7"/>
      <w:numFmt w:val="decimal"/>
      <w:suff w:val="tab"/>
      <w:lvlText w:val="%1."/>
      <w:rPr>
        <w:color w:val="3370ff"/>
      </w:rPr>
    </w:lvl>
  </w:abstractNum>
  <w:abstractNum w:abstractNumId="105161">
    <w:lvl>
      <w:start w:val="8"/>
      <w:numFmt w:val="decimal"/>
      <w:suff w:val="tab"/>
      <w:lvlText w:val="%1."/>
      <w:rPr>
        <w:color w:val="3370ff"/>
      </w:rPr>
    </w:lvl>
  </w:abstractNum>
  <w:abstractNum w:abstractNumId="105162">
    <w:lvl>
      <w:start w:val="9"/>
      <w:numFmt w:val="decimal"/>
      <w:suff w:val="tab"/>
      <w:lvlText w:val="%1."/>
      <w:rPr>
        <w:color w:val="3370ff"/>
      </w:rPr>
    </w:lvl>
  </w:abstractNum>
  <w:abstractNum w:abstractNumId="105163">
    <w:lvl>
      <w:start w:val="10"/>
      <w:numFmt w:val="decimal"/>
      <w:suff w:val="tab"/>
      <w:lvlText w:val="%1."/>
      <w:rPr>
        <w:color w:val="3370ff"/>
      </w:rPr>
    </w:lvl>
  </w:abstractNum>
  <w:abstractNum w:abstractNumId="105164">
    <w:lvl>
      <w:start w:val="11"/>
      <w:numFmt w:val="decimal"/>
      <w:suff w:val="tab"/>
      <w:lvlText w:val="%1."/>
      <w:rPr>
        <w:color w:val="3370ff"/>
      </w:rPr>
    </w:lvl>
  </w:abstractNum>
  <w:abstractNum w:abstractNumId="105165">
    <w:lvl>
      <w:start w:val="12"/>
      <w:numFmt w:val="decimal"/>
      <w:suff w:val="tab"/>
      <w:lvlText w:val="%1."/>
      <w:rPr>
        <w:color w:val="3370ff"/>
      </w:rPr>
    </w:lvl>
  </w:abstractNum>
  <w:abstractNum w:abstractNumId="105166">
    <w:lvl>
      <w:start w:val="13"/>
      <w:numFmt w:val="decimal"/>
      <w:suff w:val="tab"/>
      <w:lvlText w:val="%1."/>
      <w:rPr>
        <w:color w:val="3370ff"/>
      </w:rPr>
    </w:lvl>
  </w:abstractNum>
  <w:abstractNum w:abstractNumId="105167">
    <w:lvl>
      <w:start w:val="14"/>
      <w:numFmt w:val="decimal"/>
      <w:suff w:val="tab"/>
      <w:lvlText w:val="%1."/>
      <w:rPr>
        <w:color w:val="3370ff"/>
      </w:rPr>
    </w:lvl>
  </w:abstractNum>
  <w:abstractNum w:abstractNumId="105168">
    <w:lvl>
      <w:start w:val="15"/>
      <w:numFmt w:val="decimal"/>
      <w:suff w:val="tab"/>
      <w:lvlText w:val="%1."/>
      <w:rPr>
        <w:color w:val="3370ff"/>
      </w:rPr>
    </w:lvl>
  </w:abstractNum>
  <w:abstractNum w:abstractNumId="105169">
    <w:lvl>
      <w:start w:val="16"/>
      <w:numFmt w:val="decimal"/>
      <w:suff w:val="tab"/>
      <w:lvlText w:val="%1."/>
      <w:rPr>
        <w:color w:val="3370ff"/>
      </w:rPr>
    </w:lvl>
  </w:abstractNum>
  <w:abstractNum w:abstractNumId="105170">
    <w:lvl>
      <w:start w:val="1"/>
      <w:numFmt w:val="decimal"/>
      <w:suff w:val="tab"/>
      <w:lvlText w:val="%1."/>
      <w:rPr>
        <w:color w:val="3370ff"/>
      </w:rPr>
    </w:lvl>
  </w:abstractNum>
  <w:abstractNum w:abstractNumId="105171">
    <w:lvl>
      <w:start w:val="2"/>
      <w:numFmt w:val="decimal"/>
      <w:suff w:val="tab"/>
      <w:lvlText w:val="%1."/>
      <w:rPr>
        <w:color w:val="3370ff"/>
      </w:rPr>
    </w:lvl>
  </w:abstractNum>
  <w:abstractNum w:abstractNumId="105172">
    <w:lvl>
      <w:start w:val="3"/>
      <w:numFmt w:val="decimal"/>
      <w:suff w:val="tab"/>
      <w:lvlText w:val="%1."/>
      <w:rPr>
        <w:color w:val="3370ff"/>
      </w:rPr>
    </w:lvl>
  </w:abstractNum>
  <w:abstractNum w:abstractNumId="105173">
    <w:lvl>
      <w:start w:val="4"/>
      <w:numFmt w:val="decimal"/>
      <w:suff w:val="tab"/>
      <w:lvlText w:val="%1."/>
      <w:rPr>
        <w:color w:val="3370ff"/>
      </w:rPr>
    </w:lvl>
  </w:abstractNum>
  <w:abstractNum w:abstractNumId="105174">
    <w:lvl>
      <w:start w:val="5"/>
      <w:numFmt w:val="decimal"/>
      <w:suff w:val="tab"/>
      <w:lvlText w:val="%1."/>
      <w:rPr>
        <w:color w:val="3370ff"/>
      </w:rPr>
    </w:lvl>
  </w:abstractNum>
  <w:abstractNum w:abstractNumId="105175">
    <w:lvl>
      <w:start w:val="6"/>
      <w:numFmt w:val="decimal"/>
      <w:suff w:val="tab"/>
      <w:lvlText w:val="%1."/>
      <w:rPr>
        <w:color w:val="3370ff"/>
      </w:rPr>
    </w:lvl>
  </w:abstractNum>
  <w:abstractNum w:abstractNumId="105176">
    <w:lvl>
      <w:start w:val="7"/>
      <w:numFmt w:val="decimal"/>
      <w:suff w:val="tab"/>
      <w:lvlText w:val="%1."/>
      <w:rPr>
        <w:color w:val="3370ff"/>
      </w:rPr>
    </w:lvl>
  </w:abstractNum>
  <w:abstractNum w:abstractNumId="105177">
    <w:lvl>
      <w:start w:val="1"/>
      <w:numFmt w:val="decimal"/>
      <w:suff w:val="tab"/>
      <w:lvlText w:val="%1."/>
      <w:rPr>
        <w:color w:val="3370ff"/>
      </w:rPr>
    </w:lvl>
  </w:abstractNum>
  <w:abstractNum w:abstractNumId="105178">
    <w:lvl>
      <w:start w:val="2"/>
      <w:numFmt w:val="decimal"/>
      <w:suff w:val="tab"/>
      <w:lvlText w:val="%1."/>
      <w:rPr>
        <w:color w:val="3370ff"/>
      </w:rPr>
    </w:lvl>
  </w:abstractNum>
  <w:abstractNum w:abstractNumId="105179">
    <w:lvl>
      <w:start w:val="3"/>
      <w:numFmt w:val="decimal"/>
      <w:suff w:val="tab"/>
      <w:lvlText w:val="%1."/>
      <w:rPr>
        <w:color w:val="3370ff"/>
      </w:rPr>
    </w:lvl>
  </w:abstractNum>
  <w:abstractNum w:abstractNumId="105180">
    <w:lvl>
      <w:start w:val="4"/>
      <w:numFmt w:val="decimal"/>
      <w:suff w:val="tab"/>
      <w:lvlText w:val="%1."/>
      <w:rPr>
        <w:color w:val="3370ff"/>
      </w:rPr>
    </w:lvl>
  </w:abstractNum>
  <w:abstractNum w:abstractNumId="105181">
    <w:lvl>
      <w:start w:val="1"/>
      <w:numFmt w:val="decimal"/>
      <w:suff w:val="tab"/>
      <w:lvlText w:val="%1."/>
      <w:rPr>
        <w:color w:val="3370ff"/>
      </w:rPr>
    </w:lvl>
  </w:abstractNum>
  <w:abstractNum w:abstractNumId="105182">
    <w:lvl>
      <w:start w:val="1"/>
      <w:numFmt w:val="decimal"/>
      <w:suff w:val="tab"/>
      <w:lvlText w:val="%1."/>
      <w:rPr>
        <w:color w:val="3370ff"/>
      </w:rPr>
    </w:lvl>
  </w:abstractNum>
  <w:abstractNum w:abstractNumId="105183">
    <w:lvl>
      <w:start w:val="2"/>
      <w:numFmt w:val="decimal"/>
      <w:suff w:val="tab"/>
      <w:lvlText w:val="%1."/>
      <w:rPr>
        <w:color w:val="3370ff"/>
      </w:rPr>
    </w:lvl>
  </w:abstractNum>
  <w:abstractNum w:abstractNumId="105184">
    <w:lvl>
      <w:start w:val="3"/>
      <w:numFmt w:val="decimal"/>
      <w:suff w:val="tab"/>
      <w:lvlText w:val="%1."/>
      <w:rPr>
        <w:color w:val="3370ff"/>
      </w:rPr>
    </w:lvl>
  </w:abstractNum>
  <w:abstractNum w:abstractNumId="105185">
    <w:lvl>
      <w:start w:val="4"/>
      <w:numFmt w:val="decimal"/>
      <w:suff w:val="tab"/>
      <w:lvlText w:val="%1."/>
      <w:rPr>
        <w:color w:val="3370ff"/>
      </w:rPr>
    </w:lvl>
  </w:abstractNum>
  <w:abstractNum w:abstractNumId="105186">
    <w:lvl>
      <w:start w:val="1"/>
      <w:numFmt w:val="decimal"/>
      <w:suff w:val="tab"/>
      <w:lvlText w:val="%1."/>
      <w:rPr>
        <w:color w:val="3370ff"/>
      </w:rPr>
    </w:lvl>
  </w:abstractNum>
  <w:abstractNum w:abstractNumId="105187">
    <w:lvl>
      <w:start w:val="2"/>
      <w:numFmt w:val="decimal"/>
      <w:suff w:val="tab"/>
      <w:lvlText w:val="%1."/>
      <w:rPr>
        <w:color w:val="3370ff"/>
      </w:rPr>
    </w:lvl>
  </w:abstractNum>
  <w:abstractNum w:abstractNumId="105188">
    <w:lvl>
      <w:start w:val="3"/>
      <w:numFmt w:val="decimal"/>
      <w:suff w:val="tab"/>
      <w:lvlText w:val="%1."/>
      <w:rPr>
        <w:color w:val="3370ff"/>
      </w:rPr>
    </w:lvl>
  </w:abstractNum>
  <w:abstractNum w:abstractNumId="105189">
    <w:lvl>
      <w:start w:val="1"/>
      <w:numFmt w:val="decimal"/>
      <w:suff w:val="tab"/>
      <w:lvlText w:val="%1."/>
      <w:rPr>
        <w:color w:val="3370ff"/>
      </w:rPr>
    </w:lvl>
  </w:abstractNum>
  <w:abstractNum w:abstractNumId="105190">
    <w:lvl>
      <w:start w:val="2"/>
      <w:numFmt w:val="decimal"/>
      <w:suff w:val="tab"/>
      <w:lvlText w:val="%1."/>
      <w:rPr>
        <w:color w:val="3370ff"/>
      </w:rPr>
    </w:lvl>
  </w:abstractNum>
  <w:abstractNum w:abstractNumId="105191">
    <w:lvl>
      <w:start w:val="3"/>
      <w:numFmt w:val="decimal"/>
      <w:suff w:val="tab"/>
      <w:lvlText w:val="%1."/>
      <w:rPr>
        <w:color w:val="3370ff"/>
      </w:rPr>
    </w:lvl>
  </w:abstractNum>
  <w:abstractNum w:abstractNumId="105192">
    <w:lvl>
      <w:start w:val="4"/>
      <w:numFmt w:val="decimal"/>
      <w:suff w:val="tab"/>
      <w:lvlText w:val="%1."/>
      <w:rPr>
        <w:color w:val="3370ff"/>
      </w:rPr>
    </w:lvl>
  </w:abstractNum>
  <w:abstractNum w:abstractNumId="105193">
    <w:lvl>
      <w:start w:val="5"/>
      <w:numFmt w:val="decimal"/>
      <w:suff w:val="tab"/>
      <w:lvlText w:val="%1."/>
      <w:rPr>
        <w:color w:val="3370ff"/>
      </w:rPr>
    </w:lvl>
  </w:abstractNum>
  <w:abstractNum w:abstractNumId="105194">
    <w:lvl>
      <w:start w:val="6"/>
      <w:numFmt w:val="decimal"/>
      <w:suff w:val="tab"/>
      <w:lvlText w:val="%1."/>
      <w:rPr>
        <w:color w:val="3370ff"/>
      </w:rPr>
    </w:lvl>
  </w:abstractNum>
  <w:abstractNum w:abstractNumId="105195">
    <w:lvl>
      <w:start w:val="7"/>
      <w:numFmt w:val="decimal"/>
      <w:suff w:val="tab"/>
      <w:lvlText w:val="%1."/>
      <w:rPr>
        <w:color w:val="3370ff"/>
      </w:rPr>
    </w:lvl>
  </w:abstractNum>
  <w:abstractNum w:abstractNumId="105196">
    <w:lvl>
      <w:start w:val="8"/>
      <w:numFmt w:val="decimal"/>
      <w:suff w:val="tab"/>
      <w:lvlText w:val="%1."/>
      <w:rPr>
        <w:color w:val="3370ff"/>
      </w:rPr>
    </w:lvl>
  </w:abstractNum>
  <w:abstractNum w:abstractNumId="105197">
    <w:lvl>
      <w:start w:val="9"/>
      <w:numFmt w:val="decimal"/>
      <w:suff w:val="tab"/>
      <w:lvlText w:val="%1."/>
      <w:rPr>
        <w:color w:val="3370ff"/>
      </w:rPr>
    </w:lvl>
  </w:abstractNum>
  <w:abstractNum w:abstractNumId="105198">
    <w:lvl>
      <w:start w:val="1"/>
      <w:numFmt w:val="decimal"/>
      <w:suff w:val="tab"/>
      <w:lvlText w:val="%1."/>
      <w:rPr>
        <w:color w:val="3370ff"/>
      </w:rPr>
    </w:lvl>
  </w:abstractNum>
  <w:abstractNum w:abstractNumId="105199">
    <w:lvl>
      <w:start w:val="2"/>
      <w:numFmt w:val="decimal"/>
      <w:suff w:val="tab"/>
      <w:lvlText w:val="%1."/>
      <w:rPr>
        <w:color w:val="3370ff"/>
      </w:rPr>
    </w:lvl>
  </w:abstractNum>
  <w:abstractNum w:abstractNumId="105200">
    <w:lvl>
      <w:start w:val="3"/>
      <w:numFmt w:val="decimal"/>
      <w:suff w:val="tab"/>
      <w:lvlText w:val="%1."/>
      <w:rPr>
        <w:color w:val="3370ff"/>
      </w:rPr>
    </w:lvl>
  </w:abstractNum>
  <w:abstractNum w:abstractNumId="105201">
    <w:lvl>
      <w:start w:val="1"/>
      <w:numFmt w:val="decimal"/>
      <w:suff w:val="tab"/>
      <w:lvlText w:val="%1."/>
      <w:rPr>
        <w:color w:val="3370ff"/>
      </w:rPr>
    </w:lvl>
  </w:abstractNum>
  <w:abstractNum w:abstractNumId="105202">
    <w:lvl>
      <w:start w:val="2"/>
      <w:numFmt w:val="decimal"/>
      <w:suff w:val="tab"/>
      <w:lvlText w:val="%1."/>
      <w:rPr>
        <w:color w:val="3370ff"/>
      </w:rPr>
    </w:lvl>
  </w:abstractNum>
  <w:abstractNum w:abstractNumId="105203">
    <w:lvl>
      <w:start w:val="1"/>
      <w:numFmt w:val="decimal"/>
      <w:suff w:val="tab"/>
      <w:lvlText w:val="%1."/>
      <w:rPr>
        <w:color w:val="3370ff"/>
      </w:rPr>
    </w:lvl>
  </w:abstractNum>
  <w:abstractNum w:abstractNumId="105204">
    <w:lvl>
      <w:start w:val="2"/>
      <w:numFmt w:val="decimal"/>
      <w:suff w:val="tab"/>
      <w:lvlText w:val="%1."/>
      <w:rPr>
        <w:color w:val="3370ff"/>
      </w:rPr>
    </w:lvl>
  </w:abstractNum>
  <w:abstractNum w:abstractNumId="105205">
    <w:lvl>
      <w:start w:val="3"/>
      <w:numFmt w:val="decimal"/>
      <w:suff w:val="tab"/>
      <w:lvlText w:val="%1."/>
      <w:rPr>
        <w:color w:val="3370ff"/>
      </w:rPr>
    </w:lvl>
  </w:abstractNum>
  <w:abstractNum w:abstractNumId="105206">
    <w:lvl>
      <w:start w:val="4"/>
      <w:numFmt w:val="decimal"/>
      <w:suff w:val="tab"/>
      <w:lvlText w:val="%1."/>
      <w:rPr>
        <w:color w:val="3370ff"/>
      </w:rPr>
    </w:lvl>
  </w:abstractNum>
  <w:abstractNum w:abstractNumId="105207">
    <w:lvl>
      <w:start w:val="5"/>
      <w:numFmt w:val="decimal"/>
      <w:suff w:val="tab"/>
      <w:lvlText w:val="%1."/>
      <w:rPr>
        <w:color w:val="3370ff"/>
      </w:rPr>
    </w:lvl>
  </w:abstractNum>
  <w:abstractNum w:abstractNumId="105208">
    <w:lvl>
      <w:start w:val="6"/>
      <w:numFmt w:val="decimal"/>
      <w:suff w:val="tab"/>
      <w:lvlText w:val="%1."/>
      <w:rPr>
        <w:color w:val="3370ff"/>
      </w:rPr>
    </w:lvl>
  </w:abstractNum>
  <w:abstractNum w:abstractNumId="105209">
    <w:lvl>
      <w:start w:val="7"/>
      <w:numFmt w:val="decimal"/>
      <w:suff w:val="tab"/>
      <w:lvlText w:val="%1."/>
      <w:rPr>
        <w:color w:val="3370ff"/>
      </w:rPr>
    </w:lvl>
  </w:abstractNum>
  <w:abstractNum w:abstractNumId="105210">
    <w:lvl>
      <w:start w:val="8"/>
      <w:numFmt w:val="decimal"/>
      <w:suff w:val="tab"/>
      <w:lvlText w:val="%1."/>
      <w:rPr>
        <w:color w:val="3370ff"/>
      </w:rPr>
    </w:lvl>
  </w:abstractNum>
  <w:abstractNum w:abstractNumId="105211">
    <w:lvl>
      <w:start w:val="1"/>
      <w:numFmt w:val="decimal"/>
      <w:suff w:val="tab"/>
      <w:lvlText w:val="%1."/>
      <w:rPr>
        <w:color w:val="3370ff"/>
      </w:rPr>
    </w:lvl>
  </w:abstractNum>
  <w:abstractNum w:abstractNumId="105212">
    <w:lvl>
      <w:start w:val="2"/>
      <w:numFmt w:val="decimal"/>
      <w:suff w:val="tab"/>
      <w:lvlText w:val="%1."/>
      <w:rPr>
        <w:color w:val="3370ff"/>
      </w:rPr>
    </w:lvl>
  </w:abstractNum>
  <w:abstractNum w:abstractNumId="105213">
    <w:lvl>
      <w:start w:val="3"/>
      <w:numFmt w:val="decimal"/>
      <w:suff w:val="tab"/>
      <w:lvlText w:val="%1."/>
      <w:rPr>
        <w:color w:val="3370ff"/>
      </w:rPr>
    </w:lvl>
  </w:abstractNum>
  <w:abstractNum w:abstractNumId="105214">
    <w:lvl>
      <w:start w:val="1"/>
      <w:numFmt w:val="decimal"/>
      <w:suff w:val="tab"/>
      <w:lvlText w:val="%1."/>
      <w:rPr>
        <w:color w:val="3370ff"/>
      </w:rPr>
    </w:lvl>
  </w:abstractNum>
  <w:abstractNum w:abstractNumId="105215">
    <w:lvl>
      <w:start w:val="4"/>
      <w:numFmt w:val="decimal"/>
      <w:suff w:val="tab"/>
      <w:lvlText w:val="%1."/>
      <w:rPr>
        <w:color w:val="3370ff"/>
      </w:rPr>
    </w:lvl>
  </w:abstractNum>
  <w:abstractNum w:abstractNumId="105216">
    <w:lvl>
      <w:start w:val="1"/>
      <w:numFmt w:val="decimal"/>
      <w:suff w:val="tab"/>
      <w:lvlText w:val="%1."/>
      <w:rPr>
        <w:color w:val="3370ff"/>
      </w:rPr>
    </w:lvl>
  </w:abstractNum>
  <w:abstractNum w:abstractNumId="105217">
    <w:lvl>
      <w:start w:val="2"/>
      <w:numFmt w:val="decimal"/>
      <w:suff w:val="tab"/>
      <w:lvlText w:val="%1."/>
      <w:rPr>
        <w:color w:val="3370ff"/>
      </w:rPr>
    </w:lvl>
  </w:abstractNum>
  <w:abstractNum w:abstractNumId="105218">
    <w:lvl>
      <w:start w:val="3"/>
      <w:numFmt w:val="decimal"/>
      <w:suff w:val="tab"/>
      <w:lvlText w:val="%1."/>
      <w:rPr>
        <w:color w:val="3370ff"/>
      </w:rPr>
    </w:lvl>
  </w:abstractNum>
  <w:abstractNum w:abstractNumId="105219">
    <w:lvl>
      <w:start w:val="4"/>
      <w:numFmt w:val="decimal"/>
      <w:suff w:val="tab"/>
      <w:lvlText w:val="%1."/>
      <w:rPr>
        <w:color w:val="3370ff"/>
      </w:rPr>
    </w:lvl>
  </w:abstractNum>
  <w:abstractNum w:abstractNumId="105220">
    <w:lvl>
      <w:start w:val="5"/>
      <w:numFmt w:val="decimal"/>
      <w:suff w:val="tab"/>
      <w:lvlText w:val="%1."/>
      <w:rPr>
        <w:color w:val="3370ff"/>
      </w:rPr>
    </w:lvl>
  </w:abstractNum>
  <w:abstractNum w:abstractNumId="105221">
    <w:lvl>
      <w:start w:val="6"/>
      <w:numFmt w:val="decimal"/>
      <w:suff w:val="tab"/>
      <w:lvlText w:val="%1."/>
      <w:rPr>
        <w:color w:val="3370ff"/>
      </w:rPr>
    </w:lvl>
  </w:abstractNum>
  <w:abstractNum w:abstractNumId="105222">
    <w:lvl>
      <w:start w:val="7"/>
      <w:numFmt w:val="decimal"/>
      <w:suff w:val="tab"/>
      <w:lvlText w:val="%1."/>
      <w:rPr>
        <w:color w:val="3370ff"/>
      </w:rPr>
    </w:lvl>
  </w:abstractNum>
  <w:abstractNum w:abstractNumId="105223">
    <w:lvl>
      <w:start w:val="1"/>
      <w:numFmt w:val="decimal"/>
      <w:suff w:val="tab"/>
      <w:lvlText w:val="%1."/>
      <w:rPr>
        <w:color w:val="3370ff"/>
      </w:rPr>
    </w:lvl>
  </w:abstractNum>
  <w:abstractNum w:abstractNumId="105224">
    <w:lvl>
      <w:start w:val="2"/>
      <w:numFmt w:val="decimal"/>
      <w:suff w:val="tab"/>
      <w:lvlText w:val="%1."/>
      <w:rPr>
        <w:color w:val="3370ff"/>
      </w:rPr>
    </w:lvl>
  </w:abstractNum>
  <w:num w:numId="1">
    <w:abstractNumId w:val="105153"/>
  </w:num>
  <w:num w:numId="2">
    <w:abstractNumId w:val="105154"/>
  </w:num>
  <w:num w:numId="3">
    <w:abstractNumId w:val="105155"/>
  </w:num>
  <w:num w:numId="4">
    <w:abstractNumId w:val="105156"/>
  </w:num>
  <w:num w:numId="5">
    <w:abstractNumId w:val="105157"/>
  </w:num>
  <w:num w:numId="6">
    <w:abstractNumId w:val="105158"/>
  </w:num>
  <w:num w:numId="7">
    <w:abstractNumId w:val="105159"/>
  </w:num>
  <w:num w:numId="8">
    <w:abstractNumId w:val="105160"/>
  </w:num>
  <w:num w:numId="9">
    <w:abstractNumId w:val="105161"/>
  </w:num>
  <w:num w:numId="10">
    <w:abstractNumId w:val="105162"/>
  </w:num>
  <w:num w:numId="11">
    <w:abstractNumId w:val="105163"/>
  </w:num>
  <w:num w:numId="12">
    <w:abstractNumId w:val="105164"/>
  </w:num>
  <w:num w:numId="13">
    <w:abstractNumId w:val="105165"/>
  </w:num>
  <w:num w:numId="14">
    <w:abstractNumId w:val="105166"/>
  </w:num>
  <w:num w:numId="15">
    <w:abstractNumId w:val="105167"/>
  </w:num>
  <w:num w:numId="16">
    <w:abstractNumId w:val="105168"/>
  </w:num>
  <w:num w:numId="17">
    <w:abstractNumId w:val="105169"/>
  </w:num>
  <w:num w:numId="18">
    <w:abstractNumId w:val="105170"/>
  </w:num>
  <w:num w:numId="19">
    <w:abstractNumId w:val="105171"/>
  </w:num>
  <w:num w:numId="20">
    <w:abstractNumId w:val="105172"/>
  </w:num>
  <w:num w:numId="21">
    <w:abstractNumId w:val="105173"/>
  </w:num>
  <w:num w:numId="22">
    <w:abstractNumId w:val="105174"/>
  </w:num>
  <w:num w:numId="23">
    <w:abstractNumId w:val="105175"/>
  </w:num>
  <w:num w:numId="24">
    <w:abstractNumId w:val="105176"/>
  </w:num>
  <w:num w:numId="25">
    <w:abstractNumId w:val="105177"/>
  </w:num>
  <w:num w:numId="26">
    <w:abstractNumId w:val="105178"/>
  </w:num>
  <w:num w:numId="27">
    <w:abstractNumId w:val="105179"/>
  </w:num>
  <w:num w:numId="28">
    <w:abstractNumId w:val="105180"/>
  </w:num>
  <w:num w:numId="29">
    <w:abstractNumId w:val="105181"/>
  </w:num>
  <w:num w:numId="30">
    <w:abstractNumId w:val="105182"/>
  </w:num>
  <w:num w:numId="31">
    <w:abstractNumId w:val="105183"/>
  </w:num>
  <w:num w:numId="32">
    <w:abstractNumId w:val="105184"/>
  </w:num>
  <w:num w:numId="33">
    <w:abstractNumId w:val="105185"/>
  </w:num>
  <w:num w:numId="34">
    <w:abstractNumId w:val="105186"/>
  </w:num>
  <w:num w:numId="35">
    <w:abstractNumId w:val="105187"/>
  </w:num>
  <w:num w:numId="36">
    <w:abstractNumId w:val="105188"/>
  </w:num>
  <w:num w:numId="37">
    <w:abstractNumId w:val="105189"/>
  </w:num>
  <w:num w:numId="38">
    <w:abstractNumId w:val="105190"/>
  </w:num>
  <w:num w:numId="39">
    <w:abstractNumId w:val="105191"/>
  </w:num>
  <w:num w:numId="40">
    <w:abstractNumId w:val="105192"/>
  </w:num>
  <w:num w:numId="41">
    <w:abstractNumId w:val="105193"/>
  </w:num>
  <w:num w:numId="42">
    <w:abstractNumId w:val="105194"/>
  </w:num>
  <w:num w:numId="43">
    <w:abstractNumId w:val="105195"/>
  </w:num>
  <w:num w:numId="44">
    <w:abstractNumId w:val="105196"/>
  </w:num>
  <w:num w:numId="45">
    <w:abstractNumId w:val="105197"/>
  </w:num>
  <w:num w:numId="46">
    <w:abstractNumId w:val="105198"/>
  </w:num>
  <w:num w:numId="47">
    <w:abstractNumId w:val="105199"/>
  </w:num>
  <w:num w:numId="48">
    <w:abstractNumId w:val="105200"/>
  </w:num>
  <w:num w:numId="49">
    <w:abstractNumId w:val="105201"/>
  </w:num>
  <w:num w:numId="50">
    <w:abstractNumId w:val="105202"/>
  </w:num>
  <w:num w:numId="51">
    <w:abstractNumId w:val="105203"/>
  </w:num>
  <w:num w:numId="52">
    <w:abstractNumId w:val="105204"/>
  </w:num>
  <w:num w:numId="53">
    <w:abstractNumId w:val="105205"/>
  </w:num>
  <w:num w:numId="54">
    <w:abstractNumId w:val="105206"/>
  </w:num>
  <w:num w:numId="55">
    <w:abstractNumId w:val="105207"/>
  </w:num>
  <w:num w:numId="56">
    <w:abstractNumId w:val="105208"/>
  </w:num>
  <w:num w:numId="57">
    <w:abstractNumId w:val="105209"/>
  </w:num>
  <w:num w:numId="58">
    <w:abstractNumId w:val="105210"/>
  </w:num>
  <w:num w:numId="59">
    <w:abstractNumId w:val="105211"/>
  </w:num>
  <w:num w:numId="60">
    <w:abstractNumId w:val="105212"/>
  </w:num>
  <w:num w:numId="61">
    <w:abstractNumId w:val="105213"/>
  </w:num>
  <w:num w:numId="62">
    <w:abstractNumId w:val="105214"/>
  </w:num>
  <w:num w:numId="63">
    <w:abstractNumId w:val="105215"/>
  </w:num>
  <w:num w:numId="64">
    <w:abstractNumId w:val="105216"/>
  </w:num>
  <w:num w:numId="65">
    <w:abstractNumId w:val="105217"/>
  </w:num>
  <w:num w:numId="66">
    <w:abstractNumId w:val="105218"/>
  </w:num>
  <w:num w:numId="67">
    <w:abstractNumId w:val="105219"/>
  </w:num>
  <w:num w:numId="68">
    <w:abstractNumId w:val="105220"/>
  </w:num>
  <w:num w:numId="69">
    <w:abstractNumId w:val="105221"/>
  </w:num>
  <w:num w:numId="70">
    <w:abstractNumId w:val="105222"/>
  </w:num>
  <w:num w:numId="71">
    <w:abstractNumId w:val="105223"/>
  </w:num>
  <w:num w:numId="72">
    <w:abstractNumId w:val="105224"/>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footer1.xml" Type="http://schemas.openxmlformats.org/officeDocument/2006/relationships/footer"/><Relationship Id="rId4" Target="numbering.xml" Type="http://schemas.openxmlformats.org/officeDocument/2006/relationships/numbering"/><Relationship Id="rId5" Target="http://www.pingxx.com" TargetMode="External" Type="http://schemas.openxmlformats.org/officeDocument/2006/relationships/hyperlink"/><Relationship Id="rId6" Target="header1.xml" Type="http://schemas.openxmlformats.org/officeDocument/2006/relationships/header"/></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2024-02-01T09:16:47Z</dcterms:created>
  <dc:creator>Apache POI</dc:creator>
</cp:coreProperties>
</file>